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0" w:rsidRPr="007A6BA0" w:rsidRDefault="007A6BA0" w:rsidP="007A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BA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E7C84" w:rsidRPr="007F3D55" w:rsidRDefault="009E7C84" w:rsidP="009E7C84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7F3D55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Pytania do treści SWZ </w:t>
      </w: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– zestaw </w:t>
      </w: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6</w:t>
      </w:r>
    </w:p>
    <w:p w:rsidR="009E7C84" w:rsidRPr="007F3D55" w:rsidRDefault="009E7C84" w:rsidP="009E7C84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9E7C84" w:rsidRPr="007F3D55" w:rsidRDefault="009E7C84" w:rsidP="009E7C84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w związku z p</w:t>
      </w:r>
      <w:r w:rsidRPr="007F3D55">
        <w:rPr>
          <w:rFonts w:eastAsia="Calibri" w:cstheme="minorHAnsi"/>
          <w:spacing w:val="-1"/>
          <w:sz w:val="24"/>
          <w:szCs w:val="24"/>
        </w:rPr>
        <w:t>ost</w:t>
      </w:r>
      <w:r w:rsidRPr="007F3D55">
        <w:rPr>
          <w:rFonts w:eastAsia="Times New Roman" w:cstheme="minorHAnsi"/>
          <w:spacing w:val="-1"/>
          <w:sz w:val="24"/>
          <w:szCs w:val="24"/>
        </w:rPr>
        <w:t xml:space="preserve">ępowaniem o udzielenie zamówienia publicznego prowadzonym  w trybie podstawowym, </w:t>
      </w:r>
      <w:r w:rsidRPr="007F3D55">
        <w:rPr>
          <w:rFonts w:eastAsia="Times New Roman" w:cstheme="minorHAnsi"/>
          <w:sz w:val="24"/>
          <w:szCs w:val="24"/>
        </w:rPr>
        <w:t xml:space="preserve">na podstawie art. 275 pkt 1 ustawy z dnia 11 września 2019 r. - Prawo zamówień publicznych (Dz. U. z 2019 r., poz. 2019z </w:t>
      </w:r>
      <w:proofErr w:type="spellStart"/>
      <w:r w:rsidRPr="007F3D55">
        <w:rPr>
          <w:rFonts w:eastAsia="Times New Roman" w:cstheme="minorHAnsi"/>
          <w:sz w:val="24"/>
          <w:szCs w:val="24"/>
        </w:rPr>
        <w:t>późn</w:t>
      </w:r>
      <w:proofErr w:type="spellEnd"/>
      <w:r w:rsidRPr="007F3D55">
        <w:rPr>
          <w:rFonts w:eastAsia="Times New Roman" w:cstheme="minorHAnsi"/>
          <w:sz w:val="24"/>
          <w:szCs w:val="24"/>
        </w:rPr>
        <w:t xml:space="preserve">. zm.) </w:t>
      </w: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nr Zp.272.1.2021 na:</w:t>
      </w:r>
    </w:p>
    <w:p w:rsidR="009E7C84" w:rsidRPr="007F3D55" w:rsidRDefault="009E7C84" w:rsidP="009E7C84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i/>
          <w:iCs/>
          <w:sz w:val="24"/>
          <w:szCs w:val="24"/>
        </w:rPr>
      </w:pPr>
      <w:r w:rsidRPr="007F3D55">
        <w:rPr>
          <w:rFonts w:eastAsia="Calibri" w:cstheme="minorHAnsi"/>
          <w:b/>
          <w:spacing w:val="-3"/>
          <w:sz w:val="24"/>
          <w:szCs w:val="24"/>
        </w:rPr>
        <w:t>„Budowę przyłącza ciepłowniczego dla szpitala w Braniewie przy ul. Moniuszki 13</w:t>
      </w:r>
      <w:r w:rsidRPr="007F3D55">
        <w:rPr>
          <w:rFonts w:eastAsia="Calibri" w:cstheme="minorHAnsi"/>
          <w:b/>
          <w:sz w:val="24"/>
          <w:szCs w:val="24"/>
        </w:rPr>
        <w:t>”</w:t>
      </w:r>
    </w:p>
    <w:p w:rsidR="009E7C84" w:rsidRDefault="009E7C84" w:rsidP="009A04F6">
      <w:pPr>
        <w:spacing w:before="100" w:beforeAutospacing="1" w:after="100" w:afterAutospacing="1"/>
        <w:jc w:val="both"/>
        <w:rPr>
          <w:rFonts w:eastAsia="Times New Roman" w:cstheme="minorHAnsi"/>
          <w:szCs w:val="20"/>
          <w:lang w:eastAsia="pl-PL"/>
        </w:rPr>
      </w:pPr>
    </w:p>
    <w:p w:rsidR="009E7C84" w:rsidRDefault="009E7C84" w:rsidP="009A04F6">
      <w:pPr>
        <w:spacing w:before="100" w:beforeAutospacing="1" w:after="100" w:afterAutospacing="1"/>
        <w:jc w:val="both"/>
        <w:rPr>
          <w:rFonts w:eastAsia="Times New Roman" w:cstheme="minorHAnsi"/>
          <w:szCs w:val="20"/>
          <w:lang w:eastAsia="pl-PL"/>
        </w:rPr>
      </w:pPr>
    </w:p>
    <w:p w:rsidR="007A6BA0" w:rsidRPr="007A6BA0" w:rsidRDefault="007A6BA0" w:rsidP="009A04F6">
      <w:pPr>
        <w:spacing w:before="100" w:beforeAutospacing="1" w:after="100" w:afterAutospacing="1"/>
        <w:jc w:val="both"/>
        <w:rPr>
          <w:rFonts w:eastAsia="Times New Roman" w:cstheme="minorHAnsi"/>
          <w:i/>
          <w:lang w:eastAsia="pl-PL"/>
        </w:rPr>
      </w:pPr>
      <w:r w:rsidRPr="007A6BA0">
        <w:rPr>
          <w:rFonts w:eastAsia="Times New Roman" w:cstheme="minorHAnsi"/>
          <w:i/>
          <w:lang w:eastAsia="pl-PL"/>
        </w:rPr>
        <w:t>W związku z odpowiedzią na pytanie nr 1 – zestaw nr 2, prosimy Zamawiającego o wyrażenie zgody na dopuszczenie do stosowania systemu rur preizolowanych innych producentów niż wymienieni w wytycznych MPEC Braniewo. Wskazanie na konkretnych producentów materiałów w postaci rur preizolowanych w naszej ocenie może naruszać zasadę konkurencyjności, a nie ma uzasadnienia w potrzebach Zamawiającego. Wybudowanie sieci preizolowanej może bowiem nastąpić przy zastosowaniu rur preizolowanych innych niż sugerowane, bez uszczerbku dla jakości sieci.</w:t>
      </w:r>
    </w:p>
    <w:p w:rsidR="007A6BA0" w:rsidRPr="007A6BA0" w:rsidRDefault="007A6BA0" w:rsidP="007A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A6BA0">
        <w:rPr>
          <w:rFonts w:ascii="Arial" w:eastAsia="Times New Roman" w:hAnsi="Arial" w:cs="Arial"/>
          <w:lang w:eastAsia="pl-PL"/>
        </w:rPr>
        <w:t> </w:t>
      </w:r>
    </w:p>
    <w:p w:rsidR="007A6BA0" w:rsidRPr="007A6BA0" w:rsidRDefault="007A6BA0" w:rsidP="007A6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A6BA0">
        <w:rPr>
          <w:rFonts w:ascii="Arial" w:eastAsia="Times New Roman" w:hAnsi="Arial" w:cs="Arial"/>
          <w:lang w:eastAsia="pl-PL"/>
        </w:rPr>
        <w:t> </w:t>
      </w:r>
    </w:p>
    <w:p w:rsidR="007A6BA0" w:rsidRPr="007A6BA0" w:rsidRDefault="009A04F6" w:rsidP="006D6B4F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9E7C84">
        <w:rPr>
          <w:rFonts w:eastAsia="Times New Roman" w:cstheme="minorHAnsi"/>
          <w:lang w:eastAsia="pl-PL"/>
        </w:rPr>
        <w:t>Zamawiający podtrzymuje odpowiedz udzielona na poprzednie pytanie, czyli system rur wymienionych w wytycznych MPEC (</w:t>
      </w:r>
      <w:r w:rsidRPr="009E7C84">
        <w:rPr>
          <w:rFonts w:eastAsia="Times New Roman" w:cstheme="minorHAnsi"/>
          <w:lang w:eastAsia="pl-PL"/>
        </w:rPr>
        <w:t>LOGSTOR POLSKA S</w:t>
      </w:r>
      <w:r w:rsidRPr="009E7C84">
        <w:rPr>
          <w:rFonts w:eastAsia="Times New Roman" w:cstheme="minorHAnsi"/>
          <w:lang w:eastAsia="pl-PL"/>
        </w:rPr>
        <w:t>p. z o.o., FINPOL lub STAR PIPE).</w:t>
      </w:r>
    </w:p>
    <w:p w:rsidR="009A04F6" w:rsidRPr="009E7C84" w:rsidRDefault="009A04F6" w:rsidP="009A04F6">
      <w:pPr>
        <w:jc w:val="both"/>
        <w:rPr>
          <w:rFonts w:cstheme="minorHAnsi"/>
        </w:rPr>
      </w:pPr>
      <w:r w:rsidRPr="009E7C84">
        <w:rPr>
          <w:rFonts w:cstheme="minorHAnsi"/>
        </w:rPr>
        <w:t xml:space="preserve">Powołując się na </w:t>
      </w:r>
      <w:r w:rsidR="006D6B4F" w:rsidRPr="009E7C84">
        <w:rPr>
          <w:rFonts w:cstheme="minorHAnsi"/>
        </w:rPr>
        <w:t xml:space="preserve"> </w:t>
      </w:r>
      <w:r w:rsidRPr="009E7C84">
        <w:rPr>
          <w:rFonts w:cstheme="minorHAnsi"/>
        </w:rPr>
        <w:t>uchwał</w:t>
      </w:r>
      <w:r w:rsidRPr="009E7C84">
        <w:rPr>
          <w:rFonts w:cstheme="minorHAnsi"/>
        </w:rPr>
        <w:t>ę</w:t>
      </w:r>
      <w:r w:rsidRPr="009E7C84">
        <w:rPr>
          <w:rFonts w:cstheme="minorHAnsi"/>
        </w:rPr>
        <w:t xml:space="preserve"> Krajowej Izby Odwoławczej z dnia 1 marca 2017r. (sygn. akt: KIO/KD 9/17), które mimo wydania ich w poprzednim stanie prawnym zachowują aktualność</w:t>
      </w:r>
      <w:r w:rsidRPr="009E7C84">
        <w:rPr>
          <w:rFonts w:cstheme="minorHAnsi"/>
        </w:rPr>
        <w:t>, w naszej ocenie</w:t>
      </w:r>
      <w:r w:rsidRPr="009E7C84">
        <w:rPr>
          <w:rFonts w:cstheme="minorHAnsi"/>
        </w:rPr>
        <w:t xml:space="preserve"> sposób</w:t>
      </w:r>
      <w:r w:rsidRPr="009E7C84">
        <w:rPr>
          <w:rFonts w:cstheme="minorHAnsi"/>
        </w:rPr>
        <w:t xml:space="preserve"> opisu przedmiotu zamówienia jest</w:t>
      </w:r>
      <w:r w:rsidRPr="009E7C84">
        <w:rPr>
          <w:rFonts w:cstheme="minorHAnsi"/>
        </w:rPr>
        <w:t xml:space="preserve"> uzasadniony obiektywnymi potrzebami tj. koniecznością </w:t>
      </w:r>
      <w:r w:rsidRPr="009E7C84">
        <w:rPr>
          <w:rFonts w:cstheme="minorHAnsi"/>
        </w:rPr>
        <w:t>budowy przyłącza ciepłowniczego</w:t>
      </w:r>
      <w:r w:rsidRPr="009E7C84">
        <w:rPr>
          <w:rFonts w:cstheme="minorHAnsi"/>
        </w:rPr>
        <w:t xml:space="preserve"> za pomocą materiałów najlepszej jakości, które zapewnią sieci dłuższą żywotność, pozwalającą zaoszczędzić straty na przesyle ciepła, co ma bezpośrednie i istotne przełożenie nie tylko na bezpieczeństwo sieci, zmniejszenie jej awaryjności, ale także kosztów przeznaczanych na jej naprawy, co też przekłada się na oszczędności po</w:t>
      </w:r>
      <w:r w:rsidR="006D6B4F" w:rsidRPr="009E7C84">
        <w:rPr>
          <w:rFonts w:cstheme="minorHAnsi"/>
        </w:rPr>
        <w:t xml:space="preserve"> stronie</w:t>
      </w:r>
      <w:r w:rsidRPr="009E7C84">
        <w:rPr>
          <w:rFonts w:cstheme="minorHAnsi"/>
        </w:rPr>
        <w:t xml:space="preserve"> użytkowników końcowych. </w:t>
      </w:r>
    </w:p>
    <w:p w:rsidR="00C1546F" w:rsidRPr="009E7C84" w:rsidRDefault="009A04F6" w:rsidP="009A04F6">
      <w:pPr>
        <w:jc w:val="both"/>
        <w:rPr>
          <w:rFonts w:cstheme="minorHAnsi"/>
        </w:rPr>
      </w:pPr>
      <w:r w:rsidRPr="009E7C84">
        <w:rPr>
          <w:rFonts w:cstheme="minorHAnsi"/>
        </w:rPr>
        <w:t>Nie zachodzi w tym wypadku naruszenie konkurencji, ponieważ Zamawiający</w:t>
      </w:r>
      <w:r w:rsidR="006D6B4F" w:rsidRPr="009E7C84">
        <w:rPr>
          <w:rFonts w:cstheme="minorHAnsi"/>
        </w:rPr>
        <w:t>, zgodnie z wytycznymi MPEC,</w:t>
      </w:r>
      <w:r w:rsidRPr="009E7C84">
        <w:rPr>
          <w:rFonts w:cstheme="minorHAnsi"/>
        </w:rPr>
        <w:t xml:space="preserve"> umożliwia</w:t>
      </w:r>
      <w:r w:rsidRPr="009E7C84">
        <w:rPr>
          <w:rFonts w:cstheme="minorHAnsi"/>
        </w:rPr>
        <w:t xml:space="preserve"> zaoferowanie</w:t>
      </w:r>
      <w:r w:rsidRPr="009E7C84">
        <w:rPr>
          <w:rFonts w:cstheme="minorHAnsi"/>
        </w:rPr>
        <w:t xml:space="preserve"> przez nieograniczoną liczbę wykonawców, rur preizolowanych pochodzących od co najmniej </w:t>
      </w:r>
      <w:r w:rsidRPr="009E7C84">
        <w:rPr>
          <w:rFonts w:cstheme="minorHAnsi"/>
        </w:rPr>
        <w:t xml:space="preserve">trzech </w:t>
      </w:r>
      <w:r w:rsidRPr="009E7C84">
        <w:rPr>
          <w:rFonts w:cstheme="minorHAnsi"/>
        </w:rPr>
        <w:t xml:space="preserve">producentów działających na rynku </w:t>
      </w:r>
      <w:r w:rsidR="006D6B4F" w:rsidRPr="009E7C84">
        <w:rPr>
          <w:rFonts w:cstheme="minorHAnsi"/>
        </w:rPr>
        <w:t>(</w:t>
      </w:r>
      <w:r w:rsidRPr="009E7C84">
        <w:rPr>
          <w:rFonts w:cstheme="minorHAnsi"/>
        </w:rPr>
        <w:t>LOGSTOR</w:t>
      </w:r>
      <w:r w:rsidRPr="009E7C84">
        <w:rPr>
          <w:rFonts w:eastAsia="Times New Roman" w:cstheme="minorHAnsi"/>
          <w:lang w:eastAsia="pl-PL"/>
        </w:rPr>
        <w:t xml:space="preserve"> </w:t>
      </w:r>
      <w:r w:rsidRPr="009E7C84">
        <w:rPr>
          <w:rFonts w:eastAsia="Times New Roman" w:cstheme="minorHAnsi"/>
          <w:lang w:eastAsia="pl-PL"/>
        </w:rPr>
        <w:t>POLSKA Sp. z o.o., FINPOL lub STAR PIPE</w:t>
      </w:r>
      <w:r w:rsidRPr="009E7C84">
        <w:rPr>
          <w:rFonts w:cstheme="minorHAnsi"/>
        </w:rPr>
        <w:t>), przy czym dystrybutorów tych produktów, a więc podmiotów od których można je nabyć, jest zdecydowanie więcej.</w:t>
      </w:r>
      <w:r w:rsidR="009E7C84" w:rsidRPr="009E7C84">
        <w:rPr>
          <w:rFonts w:cstheme="minorHAnsi"/>
        </w:rPr>
        <w:t xml:space="preserve"> Wszyscy wykonawcy mają złożyć ofertę na podstawie takich samych wytycznych MPEC.</w:t>
      </w:r>
      <w:bookmarkStart w:id="0" w:name="_GoBack"/>
      <w:bookmarkEnd w:id="0"/>
    </w:p>
    <w:sectPr w:rsidR="00C1546F" w:rsidRPr="009E7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F4"/>
    <w:rsid w:val="006D6B4F"/>
    <w:rsid w:val="007A6BA0"/>
    <w:rsid w:val="008E53F4"/>
    <w:rsid w:val="009A04F6"/>
    <w:rsid w:val="009E7C84"/>
    <w:rsid w:val="00C1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3</cp:revision>
  <cp:lastPrinted>2021-04-16T07:05:00Z</cp:lastPrinted>
  <dcterms:created xsi:type="dcterms:W3CDTF">2021-04-16T05:54:00Z</dcterms:created>
  <dcterms:modified xsi:type="dcterms:W3CDTF">2021-04-16T08:07:00Z</dcterms:modified>
</cp:coreProperties>
</file>