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198" w:rsidRDefault="00265198" w:rsidP="003775BF">
      <w:pPr>
        <w:jc w:val="right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75BF" w:rsidRPr="003775BF" w:rsidRDefault="003775BF" w:rsidP="003775BF">
      <w:pPr>
        <w:jc w:val="right"/>
        <w:rPr>
          <w:rFonts w:ascii="Arial" w:eastAsia="Arial" w:hAnsi="Arial"/>
          <w:sz w:val="20"/>
          <w:szCs w:val="20"/>
        </w:rPr>
      </w:pPr>
      <w:bookmarkStart w:id="0" w:name="page1"/>
      <w:bookmarkEnd w:id="0"/>
      <w:r w:rsidRPr="003775BF">
        <w:rPr>
          <w:rFonts w:ascii="Arial" w:eastAsia="Arial" w:hAnsi="Arial"/>
          <w:sz w:val="20"/>
          <w:szCs w:val="20"/>
        </w:rPr>
        <w:t>Załącznik Nr 1 do Uchwały Nr 2</w:t>
      </w:r>
      <w:r>
        <w:rPr>
          <w:rFonts w:ascii="Arial" w:eastAsia="Arial" w:hAnsi="Arial"/>
          <w:sz w:val="20"/>
          <w:szCs w:val="20"/>
        </w:rPr>
        <w:t>62</w:t>
      </w:r>
      <w:r w:rsidRPr="003775BF">
        <w:rPr>
          <w:rFonts w:ascii="Arial" w:eastAsia="Arial" w:hAnsi="Arial"/>
          <w:sz w:val="20"/>
          <w:szCs w:val="20"/>
        </w:rPr>
        <w:t>/16</w:t>
      </w:r>
    </w:p>
    <w:p w:rsidR="003775BF" w:rsidRPr="003775BF" w:rsidRDefault="003775BF" w:rsidP="003775BF">
      <w:pPr>
        <w:jc w:val="right"/>
        <w:rPr>
          <w:rFonts w:ascii="Arial" w:eastAsia="Arial" w:hAnsi="Arial"/>
          <w:sz w:val="20"/>
          <w:szCs w:val="20"/>
        </w:rPr>
      </w:pPr>
      <w:r w:rsidRPr="003775BF">
        <w:rPr>
          <w:rFonts w:ascii="Arial" w:eastAsia="Arial" w:hAnsi="Arial"/>
          <w:sz w:val="20"/>
          <w:szCs w:val="20"/>
        </w:rPr>
        <w:t>Zarządu Powiatu Braniewskiego</w:t>
      </w:r>
    </w:p>
    <w:p w:rsidR="003775BF" w:rsidRPr="003775BF" w:rsidRDefault="003775BF" w:rsidP="003775BF">
      <w:pPr>
        <w:jc w:val="right"/>
        <w:rPr>
          <w:sz w:val="20"/>
          <w:szCs w:val="20"/>
        </w:rPr>
      </w:pPr>
      <w:r w:rsidRPr="003775BF">
        <w:rPr>
          <w:rFonts w:ascii="Arial" w:eastAsia="Arial" w:hAnsi="Arial"/>
          <w:sz w:val="20"/>
          <w:szCs w:val="20"/>
        </w:rPr>
        <w:t>z dnia 25 listopada</w:t>
      </w:r>
      <w:r w:rsidRPr="003775BF">
        <w:rPr>
          <w:rFonts w:ascii="Arial" w:eastAsia="Arial" w:hAnsi="Arial"/>
          <w:sz w:val="20"/>
          <w:szCs w:val="20"/>
        </w:rPr>
        <w:t xml:space="preserve"> 2016 roku</w:t>
      </w:r>
    </w:p>
    <w:p w:rsidR="003775BF" w:rsidRPr="003775BF" w:rsidRDefault="003775BF" w:rsidP="003775BF">
      <w:pPr>
        <w:jc w:val="right"/>
        <w:rPr>
          <w:sz w:val="20"/>
          <w:szCs w:val="20"/>
        </w:rPr>
      </w:pPr>
    </w:p>
    <w:p w:rsidR="00265198" w:rsidRPr="003775BF" w:rsidRDefault="00265198" w:rsidP="003775BF">
      <w:pPr>
        <w:jc w:val="right"/>
        <w:rPr>
          <w:sz w:val="20"/>
          <w:szCs w:val="20"/>
        </w:rPr>
      </w:pPr>
    </w:p>
    <w:p w:rsidR="00265198" w:rsidRPr="003775BF" w:rsidRDefault="003775BF" w:rsidP="003775BF">
      <w:pPr>
        <w:jc w:val="right"/>
        <w:rPr>
          <w:sz w:val="20"/>
          <w:szCs w:val="20"/>
        </w:rPr>
      </w:pP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  <w:r w:rsidRPr="003775BF">
        <w:rPr>
          <w:sz w:val="20"/>
          <w:szCs w:val="20"/>
        </w:rPr>
        <w:tab/>
      </w:r>
    </w:p>
    <w:p w:rsidR="00265198" w:rsidRDefault="00265198">
      <w:pPr>
        <w:jc w:val="center"/>
        <w:rPr>
          <w:b/>
          <w:sz w:val="20"/>
          <w:szCs w:val="20"/>
        </w:rPr>
      </w:pPr>
    </w:p>
    <w:p w:rsidR="00265198" w:rsidRDefault="00265198">
      <w:pPr>
        <w:jc w:val="center"/>
        <w:rPr>
          <w:b/>
          <w:sz w:val="20"/>
          <w:szCs w:val="20"/>
        </w:rPr>
      </w:pPr>
    </w:p>
    <w:p w:rsidR="00265198" w:rsidRDefault="00265198">
      <w:pPr>
        <w:jc w:val="center"/>
        <w:rPr>
          <w:b/>
          <w:sz w:val="20"/>
          <w:szCs w:val="20"/>
        </w:rPr>
      </w:pPr>
    </w:p>
    <w:p w:rsidR="00265198" w:rsidRDefault="00265198">
      <w:pPr>
        <w:jc w:val="center"/>
        <w:rPr>
          <w:b/>
          <w:sz w:val="20"/>
          <w:szCs w:val="20"/>
        </w:rPr>
      </w:pPr>
    </w:p>
    <w:p w:rsidR="00265198" w:rsidRDefault="00265198">
      <w:pPr>
        <w:jc w:val="center"/>
        <w:rPr>
          <w:b/>
          <w:sz w:val="20"/>
          <w:szCs w:val="20"/>
        </w:rPr>
      </w:pPr>
    </w:p>
    <w:p w:rsidR="00265198" w:rsidRDefault="00265198">
      <w:pPr>
        <w:jc w:val="center"/>
        <w:rPr>
          <w:b/>
          <w:sz w:val="20"/>
          <w:szCs w:val="20"/>
        </w:rPr>
      </w:pPr>
    </w:p>
    <w:p w:rsidR="00265198" w:rsidRDefault="00265198">
      <w:pPr>
        <w:jc w:val="center"/>
        <w:rPr>
          <w:b/>
          <w:sz w:val="20"/>
          <w:szCs w:val="20"/>
        </w:rPr>
      </w:pPr>
    </w:p>
    <w:p w:rsidR="00265198" w:rsidRDefault="0026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DIAGNOZA ZAPOTRZEBOWANIA</w:t>
      </w:r>
    </w:p>
    <w:p w:rsidR="00265198" w:rsidRDefault="00265198">
      <w:pPr>
        <w:jc w:val="center"/>
        <w:rPr>
          <w:b/>
          <w:sz w:val="28"/>
          <w:szCs w:val="28"/>
        </w:rPr>
      </w:pPr>
    </w:p>
    <w:p w:rsidR="00265198" w:rsidRDefault="0026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ZESPOŁU SZKÓŁ BUDOWALNYCH</w:t>
      </w:r>
    </w:p>
    <w:p w:rsidR="00265198" w:rsidRDefault="00265198">
      <w:pPr>
        <w:jc w:val="center"/>
        <w:rPr>
          <w:b/>
          <w:sz w:val="28"/>
          <w:szCs w:val="28"/>
        </w:rPr>
      </w:pPr>
    </w:p>
    <w:p w:rsidR="00265198" w:rsidRDefault="0026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BRANIEWIE</w:t>
      </w:r>
    </w:p>
    <w:p w:rsidR="00265198" w:rsidRDefault="00265198">
      <w:pPr>
        <w:jc w:val="center"/>
        <w:rPr>
          <w:b/>
          <w:sz w:val="28"/>
          <w:szCs w:val="28"/>
        </w:rPr>
      </w:pPr>
    </w:p>
    <w:p w:rsidR="00265198" w:rsidRDefault="0026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WSPARCIE W RAMACH REGIONALNEGO</w:t>
      </w:r>
    </w:p>
    <w:p w:rsidR="00265198" w:rsidRDefault="00265198">
      <w:pPr>
        <w:jc w:val="center"/>
        <w:rPr>
          <w:b/>
          <w:sz w:val="28"/>
          <w:szCs w:val="28"/>
        </w:rPr>
      </w:pPr>
    </w:p>
    <w:p w:rsidR="00265198" w:rsidRDefault="0026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PROGRAMU OPERACYJNEGO</w:t>
      </w:r>
    </w:p>
    <w:p w:rsidR="00265198" w:rsidRDefault="00265198">
      <w:pPr>
        <w:jc w:val="center"/>
        <w:rPr>
          <w:b/>
          <w:sz w:val="28"/>
          <w:szCs w:val="28"/>
        </w:rPr>
      </w:pPr>
    </w:p>
    <w:p w:rsidR="00265198" w:rsidRDefault="0026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WOJEWÓDZTWA</w:t>
      </w:r>
    </w:p>
    <w:p w:rsidR="00265198" w:rsidRDefault="00265198">
      <w:pPr>
        <w:jc w:val="center"/>
        <w:rPr>
          <w:b/>
          <w:sz w:val="28"/>
          <w:szCs w:val="28"/>
        </w:rPr>
      </w:pPr>
    </w:p>
    <w:p w:rsidR="00265198" w:rsidRDefault="0026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WARMIŃSKO-MAZURSKIEGO</w:t>
      </w:r>
    </w:p>
    <w:p w:rsidR="00265198" w:rsidRDefault="00265198">
      <w:pPr>
        <w:jc w:val="center"/>
        <w:rPr>
          <w:b/>
          <w:sz w:val="28"/>
          <w:szCs w:val="28"/>
        </w:rPr>
      </w:pPr>
    </w:p>
    <w:p w:rsidR="00265198" w:rsidRDefault="0026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2014-2020</w:t>
      </w:r>
    </w:p>
    <w:p w:rsidR="00265198" w:rsidRDefault="00265198">
      <w:pPr>
        <w:jc w:val="center"/>
        <w:rPr>
          <w:b/>
          <w:sz w:val="28"/>
          <w:szCs w:val="28"/>
        </w:rPr>
      </w:pPr>
    </w:p>
    <w:p w:rsidR="00265198" w:rsidRDefault="00265198">
      <w:pPr>
        <w:rPr>
          <w:b/>
        </w:rPr>
      </w:pPr>
    </w:p>
    <w:p w:rsidR="00265198" w:rsidRDefault="00265198">
      <w:pPr>
        <w:rPr>
          <w:b/>
        </w:rPr>
      </w:pPr>
    </w:p>
    <w:p w:rsidR="00265198" w:rsidRDefault="00265198">
      <w:pPr>
        <w:rPr>
          <w:b/>
        </w:rPr>
      </w:pPr>
    </w:p>
    <w:p w:rsidR="00265198" w:rsidRDefault="00265198">
      <w:pPr>
        <w:rPr>
          <w:b/>
        </w:rPr>
      </w:pPr>
    </w:p>
    <w:p w:rsidR="00265198" w:rsidRDefault="00265198">
      <w:pPr>
        <w:rPr>
          <w:b/>
        </w:rPr>
      </w:pPr>
    </w:p>
    <w:p w:rsidR="00265198" w:rsidRDefault="00265198">
      <w:pPr>
        <w:rPr>
          <w:b/>
        </w:rPr>
      </w:pPr>
    </w:p>
    <w:p w:rsidR="00265198" w:rsidRDefault="00265198">
      <w:pPr>
        <w:jc w:val="center"/>
        <w:rPr>
          <w:b/>
        </w:rPr>
      </w:pPr>
      <w:r>
        <w:rPr>
          <w:b/>
        </w:rPr>
        <w:lastRenderedPageBreak/>
        <w:t>BRANIEWO 2016</w:t>
      </w:r>
    </w:p>
    <w:p w:rsidR="00265198" w:rsidRDefault="00265198">
      <w:pPr>
        <w:rPr>
          <w:b/>
        </w:rPr>
      </w:pPr>
    </w:p>
    <w:p w:rsidR="00265198" w:rsidRDefault="00265198">
      <w:pPr>
        <w:rPr>
          <w:b/>
        </w:rPr>
      </w:pPr>
    </w:p>
    <w:p w:rsidR="00265198" w:rsidRDefault="00265198">
      <w:pPr>
        <w:rPr>
          <w:b/>
        </w:rPr>
      </w:pPr>
    </w:p>
    <w:p w:rsidR="00265198" w:rsidRDefault="00265198">
      <w:pPr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296"/>
      </w:tblGrid>
      <w:tr w:rsidR="00265198">
        <w:trPr>
          <w:trHeight w:val="9267"/>
        </w:trPr>
        <w:tc>
          <w:tcPr>
            <w:tcW w:w="1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198" w:rsidRDefault="00265198">
            <w:pPr>
              <w:snapToGrid w:val="0"/>
            </w:pPr>
          </w:p>
          <w:p w:rsidR="00265198" w:rsidRDefault="00265198">
            <w:r>
              <w:t xml:space="preserve">Nazwa szkoły: Zespół Szkół Budowlanych w Braniewie </w:t>
            </w:r>
          </w:p>
          <w:p w:rsidR="00265198" w:rsidRDefault="00265198">
            <w:r>
              <w:t>Organ prowadzący: Powiat Braniewski</w:t>
            </w:r>
          </w:p>
          <w:p w:rsidR="00265198" w:rsidRDefault="00265198"/>
          <w:p w:rsidR="00265198" w:rsidRDefault="00265198">
            <w:pPr>
              <w:spacing w:line="360" w:lineRule="auto"/>
            </w:pPr>
            <w:r>
              <w:t xml:space="preserve">Okres sporządzenia: </w:t>
            </w:r>
            <w:r w:rsidR="009702BF">
              <w:t xml:space="preserve">listopad </w:t>
            </w:r>
            <w:r>
              <w:t xml:space="preserve"> 2016</w:t>
            </w:r>
          </w:p>
          <w:p w:rsidR="00265198" w:rsidRDefault="00265198"/>
          <w:p w:rsidR="00265198" w:rsidRDefault="00265198">
            <w:r>
              <w:rPr>
                <w:u w:val="single"/>
              </w:rPr>
              <w:t>Cel i zakres diagnozy:</w:t>
            </w:r>
          </w:p>
          <w:p w:rsidR="00265198" w:rsidRDefault="00265198"/>
          <w:p w:rsidR="00265198" w:rsidRDefault="009702BF" w:rsidP="009702BF">
            <w:r>
              <w:t>- o</w:t>
            </w:r>
            <w:r w:rsidR="00265198">
              <w:t>kreślenie indywidualnych potrzeb Zespołu Szkół Budowlanych w Braniewie w zakresie</w:t>
            </w:r>
            <w:r>
              <w:t xml:space="preserve"> zmodernizowania , dopasowania  metod i treści kształcenia   </w:t>
            </w:r>
          </w:p>
          <w:p w:rsidR="009702BF" w:rsidRDefault="009702BF" w:rsidP="009702BF">
            <w:r>
              <w:t>- wsparcie na rzecz doskonalenia umiejętności i kompetencji zawodowych nauczycieli kształcenia zawodowego w tym  staż</w:t>
            </w:r>
            <w:r w:rsidR="00F806EE">
              <w:t xml:space="preserve">y </w:t>
            </w:r>
            <w:r>
              <w:t xml:space="preserve"> w przedsiębiorstwach.</w:t>
            </w:r>
          </w:p>
          <w:p w:rsidR="00265198" w:rsidRDefault="00265198">
            <w:pPr>
              <w:ind w:left="1364"/>
            </w:pPr>
          </w:p>
          <w:p w:rsidR="00265198" w:rsidRDefault="00265198">
            <w:pPr>
              <w:ind w:left="1364"/>
            </w:pPr>
          </w:p>
          <w:p w:rsidR="00265198" w:rsidRDefault="00265198">
            <w:pPr>
              <w:ind w:left="1364"/>
            </w:pPr>
          </w:p>
          <w:p w:rsidR="00265198" w:rsidRDefault="00265198">
            <w:pPr>
              <w:ind w:left="1364"/>
            </w:pPr>
          </w:p>
          <w:p w:rsidR="00265198" w:rsidRDefault="00265198">
            <w:pPr>
              <w:ind w:left="1364"/>
            </w:pPr>
          </w:p>
          <w:p w:rsidR="00265198" w:rsidRDefault="00265198">
            <w:pPr>
              <w:ind w:left="1364"/>
            </w:pPr>
          </w:p>
          <w:p w:rsidR="00265198" w:rsidRDefault="00265198">
            <w:pPr>
              <w:ind w:left="1364"/>
            </w:pPr>
          </w:p>
        </w:tc>
      </w:tr>
    </w:tbl>
    <w:p w:rsidR="00265198" w:rsidRDefault="00265198"/>
    <w:p w:rsidR="00265198" w:rsidRDefault="00265198">
      <w:pPr>
        <w:rPr>
          <w:b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2445"/>
      </w:tblGrid>
      <w:tr w:rsidR="00265198">
        <w:trPr>
          <w:trHeight w:hRule="exact" w:val="278"/>
        </w:trPr>
        <w:tc>
          <w:tcPr>
            <w:tcW w:w="1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198" w:rsidRDefault="00265198">
            <w:pPr>
              <w:widowControl w:val="0"/>
              <w:kinsoku w:val="0"/>
              <w:overflowPunct w:val="0"/>
              <w:spacing w:before="42" w:line="227" w:lineRule="exact"/>
              <w:ind w:right="5525"/>
              <w:jc w:val="center"/>
              <w:textAlignment w:val="baseline"/>
              <w:rPr>
                <w:b/>
                <w:bCs/>
                <w:spacing w:val="9"/>
              </w:rPr>
            </w:pPr>
            <w:r>
              <w:rPr>
                <w:b/>
                <w:bCs/>
                <w:spacing w:val="9"/>
              </w:rPr>
              <w:lastRenderedPageBreak/>
              <w:t xml:space="preserve">                                                                                           INFORMACJE OGÓLNE O SZKOLE ZSB W BRANIEWIE</w:t>
            </w:r>
          </w:p>
        </w:tc>
      </w:tr>
      <w:tr w:rsidR="00265198">
        <w:trPr>
          <w:trHeight w:hRule="exact" w:val="26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98" w:rsidRDefault="00265198">
            <w:pPr>
              <w:widowControl w:val="0"/>
              <w:kinsoku w:val="0"/>
              <w:overflowPunct w:val="0"/>
              <w:snapToGrid w:val="0"/>
              <w:textAlignment w:val="baseline"/>
              <w:rPr>
                <w:b/>
                <w:bCs/>
                <w:spacing w:val="9"/>
              </w:rPr>
            </w:pP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198" w:rsidRDefault="00265198">
            <w:pPr>
              <w:widowControl w:val="0"/>
              <w:kinsoku w:val="0"/>
              <w:overflowPunct w:val="0"/>
              <w:spacing w:line="240" w:lineRule="exact"/>
              <w:ind w:left="115"/>
              <w:textAlignment w:val="baseline"/>
              <w:rPr>
                <w:bCs/>
              </w:rPr>
            </w:pPr>
            <w:r>
              <w:rPr>
                <w:bCs/>
                <w:spacing w:val="-3"/>
              </w:rPr>
              <w:t>Opis</w:t>
            </w:r>
          </w:p>
        </w:tc>
      </w:tr>
      <w:tr w:rsidR="00265198">
        <w:trPr>
          <w:trHeight w:hRule="exact" w:val="9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98" w:rsidRDefault="00265198">
            <w:pPr>
              <w:widowControl w:val="0"/>
              <w:kinsoku w:val="0"/>
              <w:overflowPunct w:val="0"/>
              <w:spacing w:before="155" w:after="156" w:line="223" w:lineRule="exact"/>
              <w:ind w:left="108"/>
              <w:textAlignment w:val="baseline"/>
            </w:pPr>
            <w:r>
              <w:rPr>
                <w:bCs/>
              </w:rPr>
              <w:t>Kierunki kształcenia, kwalifikacje, liczba uczniów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198" w:rsidRDefault="00265198">
            <w:pPr>
              <w:widowControl w:val="0"/>
              <w:kinsoku w:val="0"/>
              <w:overflowPunct w:val="0"/>
              <w:snapToGrid w:val="0"/>
              <w:spacing w:line="242" w:lineRule="exact"/>
              <w:textAlignment w:val="baseline"/>
            </w:pPr>
          </w:p>
          <w:p w:rsidR="00265198" w:rsidRDefault="00265198">
            <w:pPr>
              <w:widowControl w:val="0"/>
              <w:kinsoku w:val="0"/>
              <w:overflowPunct w:val="0"/>
              <w:spacing w:before="25" w:after="238" w:line="235" w:lineRule="exact"/>
              <w:ind w:left="72" w:right="324"/>
              <w:textAlignment w:val="baseline"/>
              <w:rPr>
                <w:bCs/>
              </w:rPr>
            </w:pPr>
            <w:r>
              <w:rPr>
                <w:bCs/>
              </w:rPr>
              <w:t xml:space="preserve">Kierunki kształcenia: technik budownictwa 49 uczniów (4 dziewczęta, 45 chłopców), technik informatyk 93 uczniów </w:t>
            </w:r>
            <w:r>
              <w:rPr>
                <w:bCs/>
              </w:rPr>
              <w:br/>
              <w:t>(4 dziewczęta, 89 chłopców), technik spedytor 66 (28 dziewcząt, 38 chłopców); Liczba uczniów: 208 osób</w:t>
            </w:r>
          </w:p>
        </w:tc>
      </w:tr>
      <w:tr w:rsidR="00265198">
        <w:trPr>
          <w:trHeight w:hRule="exact" w:val="180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98" w:rsidRDefault="00265198">
            <w:pPr>
              <w:widowControl w:val="0"/>
              <w:kinsoku w:val="0"/>
              <w:overflowPunct w:val="0"/>
              <w:spacing w:before="193" w:after="191" w:line="228" w:lineRule="exact"/>
              <w:ind w:left="108" w:right="684"/>
              <w:textAlignment w:val="baseline"/>
              <w:rPr>
                <w:bCs/>
                <w:spacing w:val="9"/>
              </w:rPr>
            </w:pPr>
            <w:r>
              <w:rPr>
                <w:bCs/>
              </w:rPr>
              <w:t>Kadra kształcenia zawodowego (liczba nauczycieli, instruktorów)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198" w:rsidRDefault="00265198">
            <w:pPr>
              <w:widowControl w:val="0"/>
              <w:kinsoku w:val="0"/>
              <w:overflowPunct w:val="0"/>
              <w:spacing w:after="1042" w:line="254" w:lineRule="exact"/>
              <w:ind w:left="115"/>
              <w:textAlignment w:val="baseline"/>
            </w:pPr>
            <w:r>
              <w:rPr>
                <w:bCs/>
                <w:spacing w:val="9"/>
              </w:rPr>
              <w:t>Ilość nauczycieli uczących przedmiotów zawodowych: 10 osób</w:t>
            </w:r>
          </w:p>
        </w:tc>
      </w:tr>
    </w:tbl>
    <w:p w:rsidR="00265198" w:rsidRDefault="00265198"/>
    <w:p w:rsidR="00265198" w:rsidRDefault="00265198">
      <w:pPr>
        <w:rPr>
          <w:b/>
        </w:rPr>
      </w:pPr>
    </w:p>
    <w:p w:rsidR="00265198" w:rsidRDefault="00265198">
      <w:pPr>
        <w:spacing w:line="360" w:lineRule="auto"/>
        <w:jc w:val="both"/>
        <w:rPr>
          <w:rFonts w:eastAsia="TT82o00"/>
        </w:rPr>
      </w:pPr>
      <w:r>
        <w:rPr>
          <w:rFonts w:eastAsia="TT82o00"/>
        </w:rPr>
        <w:tab/>
        <w:t>Diagnoza zapotrzebowania Zespołu Szkół Budowlanych</w:t>
      </w:r>
      <w:r w:rsidR="00F06B86">
        <w:rPr>
          <w:rFonts w:eastAsia="TT82o00"/>
        </w:rPr>
        <w:t xml:space="preserve"> </w:t>
      </w:r>
      <w:r>
        <w:rPr>
          <w:rFonts w:eastAsia="TT82o00"/>
        </w:rPr>
        <w:t xml:space="preserve">w Braniewie na wsparcie w ramach Regionalnego Programu Operacyjnego Województwa Warmińsko-Mazurskiego na lata 2014-2020 jest oficjalnym dokumentem, z którego wnioski są podstawą dla opracowania działań zakładanych we wnioskach </w:t>
      </w:r>
      <w:r>
        <w:rPr>
          <w:rFonts w:eastAsia="TT82o00"/>
        </w:rPr>
        <w:br/>
        <w:t>o dofinansowanie w nowej perspektywie finansowej na lata 2014-2020.</w:t>
      </w:r>
    </w:p>
    <w:p w:rsidR="00265198" w:rsidRDefault="00265198">
      <w:pPr>
        <w:spacing w:line="360" w:lineRule="auto"/>
        <w:jc w:val="both"/>
        <w:rPr>
          <w:rFonts w:eastAsia="TT85o00"/>
        </w:rPr>
      </w:pPr>
      <w:r>
        <w:rPr>
          <w:rFonts w:eastAsia="TT82o00"/>
        </w:rPr>
        <w:tab/>
        <w:t xml:space="preserve">Została ona opracowana w </w:t>
      </w:r>
      <w:r w:rsidR="009702BF">
        <w:t>zmodernizowaniu, dopasowaniu metod i treści kształcenia i szkolenia do zapotrzebowania rynku pracy.</w:t>
      </w:r>
      <w:r>
        <w:rPr>
          <w:rFonts w:eastAsia="TT82o00"/>
        </w:rPr>
        <w:t xml:space="preserve"> Wyniki diagnozy potrzeb obejmują zestawienie  jakościowe przeprowadzonego badania i analizy. Diagnoza jest niezbędna dla ubiegania się o środki w ramach Regionalnego Programu Operacyjnego Województwa Warmińsko-Mazurskiego, oś priorytetowa Kadry dla gospodarki, działanie 2.4 Rozwój kształcenia i szkolenia zawodowego.</w:t>
      </w:r>
    </w:p>
    <w:p w:rsidR="00265198" w:rsidRPr="00267DDF" w:rsidRDefault="00265198">
      <w:pPr>
        <w:spacing w:line="360" w:lineRule="auto"/>
        <w:jc w:val="both"/>
        <w:rPr>
          <w:rFonts w:eastAsia="TT85o00"/>
        </w:rPr>
      </w:pPr>
      <w:r w:rsidRPr="00267DDF">
        <w:rPr>
          <w:rFonts w:eastAsia="TT85o00"/>
        </w:rPr>
        <w:t>Diagnozę potrzeb edukacyjnych i rozwojowych Zespołu Szkół Budowlanych w Braniewie na lata 2016-2018 opracowa</w:t>
      </w:r>
      <w:r w:rsidR="009702BF" w:rsidRPr="00267DDF">
        <w:rPr>
          <w:rFonts w:eastAsia="TT85o00"/>
        </w:rPr>
        <w:t>l</w:t>
      </w:r>
      <w:r w:rsidRPr="00267DDF">
        <w:rPr>
          <w:rFonts w:eastAsia="TT85o00"/>
        </w:rPr>
        <w:t>i:</w:t>
      </w:r>
    </w:p>
    <w:p w:rsidR="00265198" w:rsidRPr="00267DDF" w:rsidRDefault="00267DDF" w:rsidP="00267DDF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eastAsia="TT85o00" w:hAnsi="Times New Roman"/>
          <w:sz w:val="24"/>
          <w:szCs w:val="24"/>
        </w:rPr>
      </w:pPr>
      <w:r w:rsidRPr="00267DDF">
        <w:rPr>
          <w:rFonts w:ascii="Times New Roman" w:eastAsia="TT85o00" w:hAnsi="Times New Roman"/>
          <w:sz w:val="24"/>
          <w:szCs w:val="24"/>
        </w:rPr>
        <w:t>Dariusz Lis – wice</w:t>
      </w:r>
      <w:r w:rsidR="00265198" w:rsidRPr="00267DDF">
        <w:rPr>
          <w:rFonts w:ascii="Times New Roman" w:eastAsia="TT85o00" w:hAnsi="Times New Roman"/>
          <w:sz w:val="24"/>
          <w:szCs w:val="24"/>
        </w:rPr>
        <w:t>dyrektor Zespołu Szkół Budowlanych w Braniewie</w:t>
      </w:r>
    </w:p>
    <w:p w:rsidR="00265198" w:rsidRPr="00267DDF" w:rsidRDefault="00267DDF" w:rsidP="00267DDF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eastAsia="TT85o00" w:hAnsi="Times New Roman"/>
          <w:sz w:val="24"/>
          <w:szCs w:val="24"/>
        </w:rPr>
      </w:pPr>
      <w:r w:rsidRPr="00267DDF">
        <w:rPr>
          <w:rFonts w:ascii="Times New Roman" w:eastAsia="TT85o00" w:hAnsi="Times New Roman"/>
          <w:sz w:val="24"/>
          <w:szCs w:val="24"/>
        </w:rPr>
        <w:t>Anna Wiśniewska -  nauczyciel przedmiotów zawodowych spedycyjnych</w:t>
      </w:r>
    </w:p>
    <w:p w:rsidR="00267DDF" w:rsidRPr="00267DDF" w:rsidRDefault="00267DDF" w:rsidP="00267DDF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eastAsia="TT85o00" w:hAnsi="Times New Roman"/>
          <w:sz w:val="24"/>
          <w:szCs w:val="24"/>
        </w:rPr>
      </w:pPr>
      <w:r w:rsidRPr="00267DDF">
        <w:rPr>
          <w:rFonts w:ascii="Times New Roman" w:eastAsia="TT85o00" w:hAnsi="Times New Roman"/>
          <w:sz w:val="24"/>
          <w:szCs w:val="24"/>
        </w:rPr>
        <w:t>Mirosław Stempa – nauczyciel przedmiotów zawodowych informatycznych</w:t>
      </w:r>
    </w:p>
    <w:p w:rsidR="00AF335E" w:rsidRDefault="00AF335E">
      <w:pPr>
        <w:autoSpaceDE w:val="0"/>
        <w:spacing w:line="360" w:lineRule="auto"/>
        <w:jc w:val="both"/>
        <w:rPr>
          <w:rFonts w:eastAsia="TT85o00"/>
        </w:rPr>
      </w:pPr>
    </w:p>
    <w:p w:rsidR="00AF335E" w:rsidRDefault="00AF335E">
      <w:pPr>
        <w:autoSpaceDE w:val="0"/>
        <w:spacing w:line="360" w:lineRule="auto"/>
        <w:jc w:val="both"/>
        <w:rPr>
          <w:rFonts w:eastAsia="TT85o00"/>
        </w:rPr>
      </w:pPr>
    </w:p>
    <w:p w:rsidR="00AF335E" w:rsidRDefault="00AF335E">
      <w:pPr>
        <w:autoSpaceDE w:val="0"/>
        <w:spacing w:line="360" w:lineRule="auto"/>
        <w:jc w:val="both"/>
        <w:rPr>
          <w:rFonts w:eastAsia="TT85o00"/>
        </w:rPr>
      </w:pPr>
    </w:p>
    <w:p w:rsidR="00AF335E" w:rsidRDefault="00AF335E">
      <w:pPr>
        <w:autoSpaceDE w:val="0"/>
        <w:spacing w:line="360" w:lineRule="auto"/>
        <w:jc w:val="both"/>
        <w:rPr>
          <w:rFonts w:eastAsia="TT85o00"/>
        </w:rPr>
      </w:pPr>
      <w:bookmarkStart w:id="1" w:name="_GoBack"/>
      <w:bookmarkEnd w:id="1"/>
    </w:p>
    <w:p w:rsidR="00AF335E" w:rsidRDefault="00AF335E">
      <w:pPr>
        <w:autoSpaceDE w:val="0"/>
        <w:spacing w:line="360" w:lineRule="auto"/>
        <w:jc w:val="both"/>
        <w:rPr>
          <w:rFonts w:eastAsia="TT85o00"/>
        </w:rPr>
      </w:pPr>
    </w:p>
    <w:p w:rsidR="00AF335E" w:rsidRDefault="00AF335E">
      <w:pPr>
        <w:autoSpaceDE w:val="0"/>
        <w:spacing w:line="360" w:lineRule="auto"/>
        <w:jc w:val="both"/>
        <w:rPr>
          <w:rFonts w:eastAsia="TT85o00"/>
        </w:rPr>
      </w:pPr>
    </w:p>
    <w:p w:rsidR="00193545" w:rsidRDefault="00193545" w:rsidP="00267DDF">
      <w:pPr>
        <w:spacing w:before="100" w:beforeAutospacing="1" w:after="100" w:afterAutospacing="1"/>
        <w:rPr>
          <w:b/>
          <w:bCs/>
          <w:lang w:eastAsia="pl-PL"/>
        </w:rPr>
      </w:pPr>
    </w:p>
    <w:p w:rsidR="00FF61C9" w:rsidRPr="00FF61C9" w:rsidRDefault="00FF61C9" w:rsidP="00FF61C9">
      <w:pPr>
        <w:spacing w:before="100" w:beforeAutospacing="1" w:after="100" w:afterAutospacing="1"/>
        <w:jc w:val="center"/>
        <w:rPr>
          <w:lang w:eastAsia="pl-PL"/>
        </w:rPr>
      </w:pPr>
      <w:r w:rsidRPr="00FF61C9">
        <w:rPr>
          <w:b/>
          <w:bCs/>
          <w:lang w:eastAsia="pl-PL"/>
        </w:rPr>
        <w:t>Uzasadnienie potrzeb doposażenie bazy dydaktycznej w zawodzie technik informatyk w ramach projektu:</w:t>
      </w:r>
    </w:p>
    <w:p w:rsidR="00FF61C9" w:rsidRPr="00FF61C9" w:rsidRDefault="00FF61C9" w:rsidP="00FF61C9">
      <w:pPr>
        <w:spacing w:before="100" w:beforeAutospacing="1" w:after="100" w:afterAutospacing="1"/>
        <w:ind w:left="720" w:right="792"/>
        <w:jc w:val="both"/>
        <w:rPr>
          <w:lang w:eastAsia="pl-PL"/>
        </w:rPr>
      </w:pPr>
      <w:r w:rsidRPr="00FF61C9">
        <w:rPr>
          <w:b/>
          <w:bCs/>
          <w:i/>
          <w:iCs/>
          <w:lang w:eastAsia="pl-PL"/>
        </w:rPr>
        <w:t>M</w:t>
      </w:r>
      <w:r w:rsidRPr="00FF61C9">
        <w:rPr>
          <w:i/>
          <w:iCs/>
          <w:lang w:eastAsia="pl-PL"/>
        </w:rPr>
        <w:t>odernizację metod i treści kształcenia i szkolenia do zapotrzebowania rynku pracy przy jednoczesnym doposażeniu bazy dydaktycznej oraz wsparciu na rzecz doskonalenia umiejętności i kompetencji zawodowych nauczycieli kształcenia zawodowego oraz instruktorów praktycznej nauki zawodu.</w:t>
      </w:r>
    </w:p>
    <w:p w:rsidR="00FF61C9" w:rsidRPr="00FF61C9" w:rsidRDefault="00FF61C9" w:rsidP="00FF61C9">
      <w:pPr>
        <w:spacing w:before="120"/>
        <w:jc w:val="both"/>
        <w:rPr>
          <w:lang w:eastAsia="pl-PL"/>
        </w:rPr>
      </w:pPr>
      <w:r w:rsidRPr="00FF61C9">
        <w:rPr>
          <w:lang w:eastAsia="pl-PL"/>
        </w:rPr>
        <w:t>Ze względu na specyfikę zawodu i bardzo dynamiczny rozwój technologii IT  na kierunku Technik Informatyk , Technik  Spedytor  należy do grupy zawodów wymagającej nieustannego dokształcania się i zdobywania umiejętności pracy z najnowszymi technologiami, które są dostępne na rynku. Potencjalni pracodawcy oczekują od naszych absolwentów znajomości dostępnych na rynku rozwiązań programowych i sprzętowych. Średnio co 3 lata wprowadza się na rynek nowy system ope</w:t>
      </w:r>
      <w:r w:rsidR="00F06B86">
        <w:rPr>
          <w:lang w:eastAsia="pl-PL"/>
        </w:rPr>
        <w:t>racyjny Windows, systemy  Linux</w:t>
      </w:r>
      <w:r w:rsidRPr="00FF61C9">
        <w:rPr>
          <w:lang w:eastAsia="pl-PL"/>
        </w:rPr>
        <w:t xml:space="preserve"> pojawiają się jeszcze częściej. Dynamicznie zmienia się również sytuacja na rynku oprogramowania i sprzętu. Standardem stało się uważanie komputerów za stare po dwóch-trzech latach od daty ich wyprodukowania, wiąże się to także ze zwiększonym zapotrzebowaniem aplikacji na zasoby sprzętowe.  Z tego powodu, aby móc dobrze przygotować uczniów do wykonywania swojego zawodu musimy zapewnić im dostęp do najnowszych rozwiązań i technologii. Niewątpliwie pewne zasady pracy, które są przekazywane naszym uczniom są ponadczasowe i niezmienne i można się ich uczyć na sprzęcie, który (delikatnie mówiąc) „czasy świetności ma już dawno za sobą”. Niemniej jednak o wiele wydajniejsze jest poznawanie tych zasad w oparciu o obowiązujące rozwiązania.</w:t>
      </w:r>
    </w:p>
    <w:p w:rsidR="009702BF" w:rsidRDefault="009702BF">
      <w:pPr>
        <w:autoSpaceDE w:val="0"/>
        <w:spacing w:line="360" w:lineRule="auto"/>
        <w:jc w:val="both"/>
        <w:rPr>
          <w:rFonts w:eastAsia="TT85o00"/>
        </w:rPr>
      </w:pPr>
    </w:p>
    <w:p w:rsidR="00265198" w:rsidRDefault="00FF61C9">
      <w:pPr>
        <w:autoSpaceDE w:val="0"/>
        <w:rPr>
          <w:rFonts w:ascii="TT85o00" w:hAnsi="TT85o00" w:cs="TT85o00"/>
        </w:rPr>
      </w:pPr>
      <w:r>
        <w:t xml:space="preserve">Poniżej zmodernizowane i dopasowane  metod i treści kształcenia i szkolenia do zapotrzebowania rynku pracy: </w:t>
      </w:r>
    </w:p>
    <w:p w:rsidR="00265198" w:rsidRDefault="00265198">
      <w:pPr>
        <w:spacing w:line="360" w:lineRule="auto"/>
        <w:jc w:val="both"/>
      </w:pPr>
    </w:p>
    <w:p w:rsidR="00560580" w:rsidRDefault="00560580" w:rsidP="00560580">
      <w:pPr>
        <w:spacing w:after="60"/>
        <w:outlineLvl w:val="1"/>
        <w:rPr>
          <w:b/>
        </w:rPr>
      </w:pPr>
    </w:p>
    <w:p w:rsidR="00560580" w:rsidRDefault="00560580" w:rsidP="00560580">
      <w:pPr>
        <w:spacing w:after="60"/>
        <w:outlineLvl w:val="1"/>
        <w:rPr>
          <w:b/>
        </w:rPr>
      </w:pPr>
    </w:p>
    <w:p w:rsidR="00560580" w:rsidRDefault="00560580" w:rsidP="00560580">
      <w:pPr>
        <w:spacing w:after="60"/>
        <w:outlineLvl w:val="1"/>
        <w:rPr>
          <w:b/>
        </w:rPr>
      </w:pPr>
    </w:p>
    <w:p w:rsidR="00560580" w:rsidRDefault="00560580" w:rsidP="00560580">
      <w:pPr>
        <w:spacing w:after="60"/>
        <w:outlineLvl w:val="1"/>
        <w:rPr>
          <w:b/>
        </w:rPr>
      </w:pPr>
    </w:p>
    <w:p w:rsidR="00560580" w:rsidRDefault="00560580" w:rsidP="00560580">
      <w:pPr>
        <w:spacing w:after="60"/>
        <w:outlineLvl w:val="1"/>
        <w:rPr>
          <w:b/>
        </w:rPr>
      </w:pPr>
    </w:p>
    <w:p w:rsidR="00560580" w:rsidRDefault="00560580" w:rsidP="00560580">
      <w:pPr>
        <w:spacing w:after="60"/>
        <w:outlineLvl w:val="1"/>
        <w:rPr>
          <w:b/>
        </w:rPr>
      </w:pPr>
    </w:p>
    <w:p w:rsidR="00A6413E" w:rsidRDefault="00A6413E" w:rsidP="00560580">
      <w:pPr>
        <w:spacing w:after="60"/>
        <w:outlineLvl w:val="1"/>
        <w:rPr>
          <w:b/>
        </w:rPr>
      </w:pPr>
    </w:p>
    <w:p w:rsidR="00560580" w:rsidRPr="00D63B38" w:rsidRDefault="00560580" w:rsidP="00560580">
      <w:pPr>
        <w:spacing w:after="60"/>
        <w:outlineLvl w:val="1"/>
        <w:rPr>
          <w:b/>
        </w:rPr>
      </w:pPr>
      <w:r>
        <w:rPr>
          <w:b/>
        </w:rPr>
        <w:t xml:space="preserve">Przedmiot: </w:t>
      </w:r>
      <w:r w:rsidRPr="00D63B38">
        <w:rPr>
          <w:b/>
        </w:rPr>
        <w:t>Podstawy organizacji przedsiębiorstwa transportowo-spedycyjnego</w:t>
      </w:r>
    </w:p>
    <w:p w:rsidR="00560580" w:rsidRPr="00F17472" w:rsidRDefault="00560580" w:rsidP="00560580">
      <w:pPr>
        <w:spacing w:after="200"/>
        <w:ind w:left="1134"/>
        <w:contextualSpacing/>
        <w:rPr>
          <w:rFonts w:cs="Calibri"/>
          <w:sz w:val="20"/>
          <w:szCs w:val="20"/>
        </w:rPr>
      </w:pPr>
    </w:p>
    <w:tbl>
      <w:tblPr>
        <w:tblW w:w="131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8"/>
        <w:gridCol w:w="4252"/>
        <w:gridCol w:w="2666"/>
        <w:gridCol w:w="2419"/>
      </w:tblGrid>
      <w:tr w:rsidR="00560580" w:rsidRPr="00B0423D" w:rsidTr="00F97EA2">
        <w:trPr>
          <w:trHeight w:val="664"/>
          <w:jc w:val="center"/>
        </w:trPr>
        <w:tc>
          <w:tcPr>
            <w:tcW w:w="13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spacing w:after="60"/>
              <w:outlineLvl w:val="1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4F14">
              <w:rPr>
                <w:b/>
                <w:bCs/>
                <w:sz w:val="20"/>
                <w:szCs w:val="18"/>
              </w:rPr>
              <w:t>1.2. Elementy organizacji przedsiębiorstwa transportowo-spedycyjnego</w:t>
            </w:r>
          </w:p>
        </w:tc>
      </w:tr>
      <w:tr w:rsidR="00560580" w:rsidRPr="00B0423D" w:rsidTr="00F97EA2">
        <w:trPr>
          <w:trHeight w:val="664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Wybrane u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szczegółowione efekty kształcenia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Uczeń po zrealizowaniu zajęć potrafi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Metody </w:t>
            </w:r>
          </w:p>
        </w:tc>
      </w:tr>
      <w:tr w:rsidR="00560580" w:rsidRPr="00B0423D" w:rsidTr="00F97EA2">
        <w:trPr>
          <w:trHeight w:val="913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</w:tr>
      <w:tr w:rsidR="00560580" w:rsidRPr="00B0423D" w:rsidTr="00267DDF">
        <w:trPr>
          <w:trHeight w:val="6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580" w:rsidRPr="00B0423D" w:rsidRDefault="00560580" w:rsidP="00267DDF">
            <w:pPr>
              <w:rPr>
                <w:rFonts w:cs="Calibri"/>
                <w:bCs/>
                <w:sz w:val="18"/>
                <w:szCs w:val="18"/>
              </w:rPr>
            </w:pPr>
            <w:r w:rsidRPr="000E4F14">
              <w:rPr>
                <w:rFonts w:eastAsia="Arial Unicode MS"/>
                <w:sz w:val="18"/>
                <w:szCs w:val="18"/>
              </w:rPr>
              <w:t>PDG(3)2 analizować przepisy dotyczące prowadzenia działalności gospodarczej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</w:rPr>
            </w:pPr>
            <w:r w:rsidRPr="000E4F14">
              <w:rPr>
                <w:rFonts w:eastAsia="Arial Unicode MS"/>
                <w:sz w:val="18"/>
                <w:szCs w:val="18"/>
              </w:rPr>
              <w:t>PDG(3)2 analizować przepisy dotyczące prowadzenia działalności gospodarcze</w:t>
            </w:r>
            <w:r w:rsidR="00267DDF">
              <w:rPr>
                <w:rFonts w:eastAsia="Arial Unicode MS"/>
                <w:sz w:val="18"/>
                <w:szCs w:val="18"/>
              </w:rPr>
              <w:t xml:space="preserve"> </w:t>
            </w:r>
            <w:r w:rsidRPr="006F342C">
              <w:rPr>
                <w:rFonts w:eastAsia="Arial Unicode MS"/>
                <w:sz w:val="18"/>
                <w:szCs w:val="18"/>
              </w:rPr>
              <w:t>na przykładzie wybranych, regionalnych  firm spedycyjnych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Dominującą metodą powinny być ćwiczenia. Uczniowie</w:t>
            </w:r>
            <w:r>
              <w:rPr>
                <w:sz w:val="18"/>
                <w:szCs w:val="18"/>
              </w:rPr>
              <w:t xml:space="preserve"> powinni </w:t>
            </w:r>
            <w:r w:rsidRPr="00ED00A7">
              <w:rPr>
                <w:sz w:val="18"/>
                <w:szCs w:val="18"/>
              </w:rPr>
              <w:t>otrzymywać zróżnicowane pomoce dyda</w:t>
            </w:r>
            <w:r w:rsidRPr="000E4F14">
              <w:rPr>
                <w:sz w:val="18"/>
                <w:szCs w:val="18"/>
              </w:rPr>
              <w:t xml:space="preserve">ktyczne ułatwiające wykonywanie ćwiczeń rozwijających umiejętności sporządzania dokumentacji. Ćwiczenia należy poprzedzić pokazem z objaśnieniem. </w:t>
            </w: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Dominującą metodą powinny być ćwiczenia</w:t>
            </w:r>
            <w:r>
              <w:rPr>
                <w:sz w:val="18"/>
                <w:szCs w:val="18"/>
              </w:rPr>
              <w:t xml:space="preserve"> z wykorzystaniem komputera z dostępem do specjalistycznego oprogramowania</w:t>
            </w:r>
            <w:r w:rsidRPr="000E4F14">
              <w:rPr>
                <w:sz w:val="18"/>
                <w:szCs w:val="18"/>
              </w:rPr>
              <w:t>. Uczniowie</w:t>
            </w:r>
            <w:r>
              <w:rPr>
                <w:sz w:val="18"/>
                <w:szCs w:val="18"/>
              </w:rPr>
              <w:t xml:space="preserve"> powinni </w:t>
            </w:r>
            <w:r w:rsidRPr="00ED00A7">
              <w:rPr>
                <w:sz w:val="18"/>
                <w:szCs w:val="18"/>
              </w:rPr>
              <w:t>otrzymywać zróżnicowane pomoce dyda</w:t>
            </w:r>
            <w:r w:rsidRPr="000E4F14">
              <w:rPr>
                <w:sz w:val="18"/>
                <w:szCs w:val="18"/>
              </w:rPr>
              <w:t>ktyczne</w:t>
            </w:r>
            <w:r>
              <w:rPr>
                <w:sz w:val="18"/>
                <w:szCs w:val="18"/>
              </w:rPr>
              <w:t>, dostęp do aktualnych przepisów,</w:t>
            </w:r>
            <w:r w:rsidRPr="000E4F14">
              <w:rPr>
                <w:sz w:val="18"/>
                <w:szCs w:val="18"/>
              </w:rPr>
              <w:t xml:space="preserve"> ułatwiające wykonywanie ćwiczeń rozwijających umiejętności sporządzania dokumentacji. Ćwiczenia należy poprzedzić </w:t>
            </w:r>
            <w:r>
              <w:rPr>
                <w:sz w:val="18"/>
                <w:szCs w:val="18"/>
              </w:rPr>
              <w:t xml:space="preserve">komputerowym </w:t>
            </w:r>
            <w:r w:rsidRPr="000E4F14">
              <w:rPr>
                <w:sz w:val="18"/>
                <w:szCs w:val="18"/>
              </w:rPr>
              <w:t>pokazem z objaśnieniem</w:t>
            </w:r>
            <w:r>
              <w:rPr>
                <w:sz w:val="18"/>
                <w:szCs w:val="18"/>
              </w:rPr>
              <w:t xml:space="preserve">. </w:t>
            </w: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</w:tr>
      <w:tr w:rsidR="00560580" w:rsidRPr="00B0423D" w:rsidTr="00F97EA2">
        <w:trPr>
          <w:trHeight w:val="323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580" w:rsidRPr="00B0423D" w:rsidRDefault="00560580" w:rsidP="00F97EA2">
            <w:pPr>
              <w:rPr>
                <w:rFonts w:cs="Calibri"/>
                <w:bCs/>
                <w:sz w:val="18"/>
                <w:szCs w:val="18"/>
              </w:rPr>
            </w:pPr>
            <w:r w:rsidRPr="000E4F14">
              <w:rPr>
                <w:rFonts w:eastAsia="Arial Unicode MS"/>
                <w:sz w:val="18"/>
                <w:szCs w:val="18"/>
              </w:rPr>
              <w:t>PDG(4)3 określić powiązania przedsiębiorstwa transportowo-spedycyjnego z</w:t>
            </w:r>
            <w:r w:rsidR="00267DDF">
              <w:rPr>
                <w:rFonts w:eastAsia="Arial Unicode MS"/>
                <w:sz w:val="18"/>
                <w:szCs w:val="18"/>
              </w:rPr>
              <w:t xml:space="preserve"> </w:t>
            </w:r>
            <w:r w:rsidRPr="00ED00A7">
              <w:rPr>
                <w:rFonts w:eastAsia="Arial Unicode MS"/>
                <w:sz w:val="18"/>
                <w:szCs w:val="18"/>
              </w:rPr>
              <w:t>otocz</w:t>
            </w:r>
            <w:r>
              <w:rPr>
                <w:rFonts w:eastAsia="Arial Unicode MS"/>
                <w:sz w:val="18"/>
                <w:szCs w:val="18"/>
              </w:rPr>
              <w:t>eniem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80" w:rsidRPr="00B0423D" w:rsidRDefault="00560580" w:rsidP="00F97EA2">
            <w:pPr>
              <w:rPr>
                <w:rFonts w:cs="Calibri"/>
                <w:color w:val="000000"/>
                <w:sz w:val="18"/>
                <w:szCs w:val="18"/>
              </w:rPr>
            </w:pPr>
            <w:r w:rsidRPr="000E4F14">
              <w:rPr>
                <w:rFonts w:eastAsia="Arial Unicode MS"/>
                <w:sz w:val="18"/>
                <w:szCs w:val="18"/>
              </w:rPr>
              <w:t>PDG(4)3 określić powiązania przedsiębiorstwa transportowo-spedycyjnego z</w:t>
            </w:r>
            <w:r w:rsidR="00267DDF">
              <w:rPr>
                <w:rFonts w:eastAsia="Arial Unicode MS"/>
                <w:sz w:val="18"/>
                <w:szCs w:val="18"/>
              </w:rPr>
              <w:t xml:space="preserve"> </w:t>
            </w:r>
            <w:r w:rsidRPr="00ED00A7">
              <w:rPr>
                <w:rFonts w:eastAsia="Arial Unicode MS"/>
                <w:sz w:val="18"/>
                <w:szCs w:val="18"/>
              </w:rPr>
              <w:t>otocz</w:t>
            </w:r>
            <w:r>
              <w:rPr>
                <w:rFonts w:eastAsia="Arial Unicode MS"/>
                <w:sz w:val="18"/>
                <w:szCs w:val="18"/>
              </w:rPr>
              <w:t xml:space="preserve">eniem </w:t>
            </w:r>
            <w:r w:rsidRPr="006F342C">
              <w:rPr>
                <w:rFonts w:eastAsia="Arial Unicode MS"/>
                <w:sz w:val="18"/>
                <w:szCs w:val="18"/>
              </w:rPr>
              <w:t>(firmami z branży pokrewnej)</w:t>
            </w:r>
          </w:p>
        </w:tc>
        <w:tc>
          <w:tcPr>
            <w:tcW w:w="2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580" w:rsidRPr="00B0423D" w:rsidRDefault="00560580" w:rsidP="00F97EA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60580" w:rsidRPr="00B0423D" w:rsidTr="00F97EA2">
        <w:trPr>
          <w:trHeight w:val="24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580" w:rsidRPr="00B0423D" w:rsidRDefault="00560580" w:rsidP="00F97EA2">
            <w:pPr>
              <w:rPr>
                <w:rFonts w:cs="Calibri"/>
                <w:bCs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OMZ(4</w:t>
            </w:r>
            <w:r w:rsidRPr="00ED00A7">
              <w:rPr>
                <w:sz w:val="18"/>
                <w:szCs w:val="18"/>
              </w:rPr>
              <w:t>)1</w:t>
            </w:r>
            <w:r w:rsidRPr="000E4F14">
              <w:rPr>
                <w:sz w:val="18"/>
                <w:szCs w:val="18"/>
              </w:rPr>
              <w:t xml:space="preserve"> kontrolować jakość wykonywanych zadań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80" w:rsidRDefault="00560580" w:rsidP="00F97EA2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OMZ(4</w:t>
            </w:r>
            <w:r w:rsidRPr="00ED00A7">
              <w:rPr>
                <w:sz w:val="18"/>
                <w:szCs w:val="18"/>
              </w:rPr>
              <w:t>)1</w:t>
            </w:r>
            <w:r w:rsidRPr="000E4F14">
              <w:rPr>
                <w:sz w:val="18"/>
                <w:szCs w:val="18"/>
              </w:rPr>
              <w:t xml:space="preserve"> kontrolować jakość wykonywanych zadań</w:t>
            </w:r>
            <w:r>
              <w:rPr>
                <w:sz w:val="18"/>
                <w:szCs w:val="18"/>
              </w:rPr>
              <w:t xml:space="preserve">, </w:t>
            </w:r>
            <w:r w:rsidRPr="006F342C">
              <w:rPr>
                <w:sz w:val="18"/>
                <w:szCs w:val="18"/>
              </w:rPr>
              <w:t>poprzez elektroniczną wymianę informacji;</w:t>
            </w:r>
          </w:p>
          <w:p w:rsidR="00560580" w:rsidRDefault="00560580" w:rsidP="00F97EA2">
            <w:pPr>
              <w:rPr>
                <w:sz w:val="18"/>
                <w:szCs w:val="18"/>
              </w:rPr>
            </w:pPr>
          </w:p>
          <w:p w:rsidR="00267DDF" w:rsidRDefault="00267DDF" w:rsidP="00F97EA2">
            <w:pPr>
              <w:rPr>
                <w:sz w:val="18"/>
                <w:szCs w:val="18"/>
              </w:rPr>
            </w:pPr>
          </w:p>
          <w:p w:rsidR="00267DDF" w:rsidRDefault="00267DDF" w:rsidP="00F97EA2">
            <w:pPr>
              <w:rPr>
                <w:sz w:val="18"/>
                <w:szCs w:val="18"/>
              </w:rPr>
            </w:pPr>
          </w:p>
          <w:p w:rsidR="00267DDF" w:rsidRDefault="00267DDF" w:rsidP="00F97EA2">
            <w:pPr>
              <w:rPr>
                <w:sz w:val="18"/>
                <w:szCs w:val="18"/>
              </w:rPr>
            </w:pPr>
          </w:p>
          <w:p w:rsidR="00267DDF" w:rsidRDefault="00267DDF" w:rsidP="00F97EA2">
            <w:pPr>
              <w:rPr>
                <w:sz w:val="18"/>
                <w:szCs w:val="18"/>
              </w:rPr>
            </w:pPr>
          </w:p>
          <w:p w:rsidR="00560580" w:rsidRDefault="00560580" w:rsidP="00F97EA2">
            <w:pPr>
              <w:rPr>
                <w:sz w:val="18"/>
                <w:szCs w:val="18"/>
              </w:rPr>
            </w:pPr>
          </w:p>
          <w:p w:rsidR="00560580" w:rsidRDefault="00560580" w:rsidP="00F97EA2">
            <w:pPr>
              <w:rPr>
                <w:sz w:val="18"/>
                <w:szCs w:val="18"/>
              </w:rPr>
            </w:pPr>
          </w:p>
          <w:p w:rsidR="00560580" w:rsidRDefault="00560580" w:rsidP="00F97EA2">
            <w:pPr>
              <w:rPr>
                <w:sz w:val="18"/>
                <w:szCs w:val="18"/>
              </w:rPr>
            </w:pPr>
          </w:p>
          <w:p w:rsidR="00560580" w:rsidRDefault="00560580" w:rsidP="00F97EA2">
            <w:pPr>
              <w:rPr>
                <w:sz w:val="18"/>
                <w:szCs w:val="18"/>
              </w:rPr>
            </w:pPr>
          </w:p>
          <w:p w:rsidR="00560580" w:rsidRDefault="00560580" w:rsidP="00F97EA2">
            <w:pPr>
              <w:rPr>
                <w:sz w:val="18"/>
                <w:szCs w:val="18"/>
              </w:rPr>
            </w:pPr>
          </w:p>
          <w:p w:rsidR="00560580" w:rsidRDefault="00560580" w:rsidP="00F97EA2">
            <w:pPr>
              <w:rPr>
                <w:sz w:val="18"/>
                <w:szCs w:val="18"/>
              </w:rPr>
            </w:pPr>
          </w:p>
          <w:p w:rsidR="00560580" w:rsidRDefault="00560580" w:rsidP="00F97EA2">
            <w:pPr>
              <w:rPr>
                <w:sz w:val="18"/>
                <w:szCs w:val="18"/>
              </w:rPr>
            </w:pPr>
          </w:p>
          <w:p w:rsidR="00560580" w:rsidRDefault="00560580" w:rsidP="00F97EA2">
            <w:pPr>
              <w:rPr>
                <w:sz w:val="18"/>
                <w:szCs w:val="18"/>
              </w:rPr>
            </w:pPr>
          </w:p>
          <w:p w:rsidR="00560580" w:rsidRDefault="00560580" w:rsidP="00F97EA2">
            <w:pPr>
              <w:rPr>
                <w:sz w:val="18"/>
                <w:szCs w:val="18"/>
              </w:rPr>
            </w:pPr>
          </w:p>
          <w:p w:rsidR="00560580" w:rsidRPr="00B0423D" w:rsidRDefault="00560580" w:rsidP="00F97EA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580" w:rsidRPr="00B0423D" w:rsidRDefault="00560580" w:rsidP="00F97EA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D057A8" w:rsidRDefault="00D057A8" w:rsidP="00560580">
      <w:pPr>
        <w:pStyle w:val="Akapitzlist"/>
      </w:pPr>
    </w:p>
    <w:p w:rsidR="00D057A8" w:rsidRDefault="00D057A8" w:rsidP="00560580">
      <w:pPr>
        <w:pStyle w:val="Akapitzlist"/>
      </w:pPr>
    </w:p>
    <w:p w:rsidR="00D057A8" w:rsidRDefault="00D057A8" w:rsidP="00560580">
      <w:pPr>
        <w:pStyle w:val="Akapitzlist"/>
      </w:pPr>
    </w:p>
    <w:tbl>
      <w:tblPr>
        <w:tblW w:w="131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8"/>
        <w:gridCol w:w="4252"/>
        <w:gridCol w:w="2666"/>
        <w:gridCol w:w="2419"/>
      </w:tblGrid>
      <w:tr w:rsidR="00560580" w:rsidRPr="00B0423D" w:rsidTr="00F97EA2">
        <w:trPr>
          <w:trHeight w:val="664"/>
          <w:jc w:val="center"/>
        </w:trPr>
        <w:tc>
          <w:tcPr>
            <w:tcW w:w="13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spacing w:after="60"/>
              <w:outlineLvl w:val="1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4F14">
              <w:rPr>
                <w:b/>
                <w:bCs/>
                <w:sz w:val="20"/>
                <w:szCs w:val="18"/>
              </w:rPr>
              <w:t>1.3. Marketing i negocjacje w spedycji</w:t>
            </w:r>
          </w:p>
        </w:tc>
      </w:tr>
      <w:tr w:rsidR="00560580" w:rsidRPr="00B0423D" w:rsidTr="00F97EA2">
        <w:trPr>
          <w:trHeight w:val="664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Wybrane u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szczegółowione efekty kształcenia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Uczeń po zrealizowaniu zajęć potrafi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Metody </w:t>
            </w:r>
          </w:p>
        </w:tc>
      </w:tr>
      <w:tr w:rsidR="00560580" w:rsidRPr="00B0423D" w:rsidTr="00F97EA2">
        <w:trPr>
          <w:trHeight w:val="913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</w:tr>
      <w:tr w:rsidR="00560580" w:rsidRPr="00B0423D" w:rsidTr="00267DDF">
        <w:trPr>
          <w:trHeight w:val="6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  <w:r w:rsidRPr="000E4F14">
              <w:rPr>
                <w:rFonts w:eastAsia="Arial Unicode MS"/>
                <w:sz w:val="18"/>
                <w:szCs w:val="18"/>
              </w:rPr>
              <w:t>PDG(6)3ustalić zakres i zasady współpracy z przedsiębiorstwami transportowo-spedycyjnymi;</w:t>
            </w:r>
          </w:p>
          <w:p w:rsidR="00560580" w:rsidRPr="00B0423D" w:rsidRDefault="00560580" w:rsidP="00267DDF">
            <w:pPr>
              <w:rPr>
                <w:rFonts w:cs="Calibri"/>
                <w:bCs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A.29.1(6)3 </w:t>
            </w:r>
            <w:r w:rsidRPr="000E4F14">
              <w:rPr>
                <w:rFonts w:cs="ArialMT"/>
                <w:sz w:val="18"/>
                <w:szCs w:val="18"/>
              </w:rPr>
              <w:t>określić znaczenie umiejętności komunikowania się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Dodano :</w:t>
            </w:r>
            <w:r w:rsidRPr="0017597D">
              <w:rPr>
                <w:rFonts w:eastAsia="Arial Unicode MS"/>
                <w:sz w:val="18"/>
                <w:szCs w:val="18"/>
              </w:rPr>
              <w:t>PDG(6)4. porównać działalność firm spedycyjnych na rynku lokalnym</w:t>
            </w:r>
          </w:p>
          <w:p w:rsidR="00560580" w:rsidRPr="00F839FB" w:rsidRDefault="00560580" w:rsidP="00267DDF">
            <w:pPr>
              <w:rPr>
                <w:rFonts w:cs="Calibri"/>
                <w:sz w:val="18"/>
                <w:szCs w:val="18"/>
              </w:rPr>
            </w:pPr>
            <w:r w:rsidRPr="00F839FB">
              <w:rPr>
                <w:sz w:val="18"/>
                <w:szCs w:val="18"/>
              </w:rPr>
              <w:t xml:space="preserve">A.29.1(6)3 </w:t>
            </w:r>
            <w:r w:rsidRPr="00F839FB">
              <w:rPr>
                <w:rFonts w:cs="ArialMT"/>
                <w:sz w:val="18"/>
                <w:szCs w:val="18"/>
              </w:rPr>
              <w:t>określić znaczenie umiejętności komunikowania się w tym drogą elektroniczną w prowadzeniu negocjacji;</w:t>
            </w: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Pr="0017597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Dominującą metodą powinny być ćwiczenia i metoda projektów. Uczniowie powinni otrzymywać zróżnicowane pomoce dydaktyczne ułatwiające wykonywanie ćwiczeń rozwijających umiejętności </w:t>
            </w:r>
            <w:r w:rsidRPr="000E4F14">
              <w:rPr>
                <w:rFonts w:cs="Arial"/>
                <w:sz w:val="18"/>
                <w:szCs w:val="18"/>
              </w:rPr>
              <w:t>planowani promocji usług transportowych</w:t>
            </w:r>
            <w:r w:rsidRPr="000E4F14">
              <w:rPr>
                <w:sz w:val="18"/>
                <w:szCs w:val="18"/>
              </w:rPr>
              <w:t>. Ćwiczenia należy poprzedzić pokazem z objaśnieniem.</w:t>
            </w:r>
          </w:p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Dominującą metodą powinny być ćwiczenia i metoda projektów</w:t>
            </w:r>
            <w:r>
              <w:rPr>
                <w:sz w:val="18"/>
                <w:szCs w:val="18"/>
              </w:rPr>
              <w:t xml:space="preserve"> z wykorzystaniem komputerów</w:t>
            </w:r>
            <w:r w:rsidRPr="000E4F14">
              <w:rPr>
                <w:sz w:val="18"/>
                <w:szCs w:val="18"/>
              </w:rPr>
              <w:t>. Uczniowie powinni otrzymywać zróżnicowane pomoce dydaktyczne</w:t>
            </w:r>
            <w:r>
              <w:rPr>
                <w:sz w:val="18"/>
                <w:szCs w:val="18"/>
              </w:rPr>
              <w:t>, komunikować się z wykorzystaniem Internetu, prowadzić negocjacje drogą elektroniczną,</w:t>
            </w:r>
            <w:r w:rsidRPr="000E4F14">
              <w:rPr>
                <w:sz w:val="18"/>
                <w:szCs w:val="18"/>
              </w:rPr>
              <w:t xml:space="preserve"> ułatwiające wykonywanie ćwiczeń rozwijających umiejętności </w:t>
            </w:r>
            <w:r w:rsidRPr="000E4F14">
              <w:rPr>
                <w:rFonts w:cs="Arial"/>
                <w:sz w:val="18"/>
                <w:szCs w:val="18"/>
              </w:rPr>
              <w:t>planowani promocji usług transportowych</w:t>
            </w:r>
            <w:r w:rsidRPr="000E4F14">
              <w:rPr>
                <w:sz w:val="18"/>
                <w:szCs w:val="18"/>
              </w:rPr>
              <w:t>. Ćwiczenia należy poprzedzić pokazem z objaśnieniem.</w:t>
            </w: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A6413E" w:rsidRDefault="00A6413E" w:rsidP="00560580">
      <w:pPr>
        <w:pStyle w:val="Nagwek2"/>
        <w:rPr>
          <w:sz w:val="22"/>
          <w:szCs w:val="22"/>
        </w:rPr>
      </w:pPr>
      <w:bookmarkStart w:id="2" w:name="_Toc324806055"/>
      <w:bookmarkStart w:id="3" w:name="_Toc341861259"/>
    </w:p>
    <w:p w:rsidR="00560580" w:rsidRPr="00F839FB" w:rsidRDefault="00560580" w:rsidP="00560580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Przedmiot: </w:t>
      </w:r>
      <w:r w:rsidRPr="00F839FB">
        <w:rPr>
          <w:sz w:val="22"/>
          <w:szCs w:val="22"/>
        </w:rPr>
        <w:t>Podstawy transportu i spedycji</w:t>
      </w:r>
      <w:bookmarkEnd w:id="2"/>
      <w:bookmarkEnd w:id="3"/>
    </w:p>
    <w:p w:rsidR="00560580" w:rsidRDefault="00560580" w:rsidP="00560580">
      <w:pPr>
        <w:pStyle w:val="Akapitzlist"/>
      </w:pPr>
    </w:p>
    <w:tbl>
      <w:tblPr>
        <w:tblW w:w="131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8"/>
        <w:gridCol w:w="4252"/>
        <w:gridCol w:w="2666"/>
        <w:gridCol w:w="2419"/>
      </w:tblGrid>
      <w:tr w:rsidR="00560580" w:rsidRPr="00B0423D" w:rsidTr="00F97EA2">
        <w:trPr>
          <w:trHeight w:val="664"/>
          <w:jc w:val="center"/>
        </w:trPr>
        <w:tc>
          <w:tcPr>
            <w:tcW w:w="13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spacing w:after="60"/>
              <w:outlineLvl w:val="1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E4F14">
              <w:rPr>
                <w:b/>
                <w:bCs/>
                <w:sz w:val="20"/>
                <w:szCs w:val="18"/>
              </w:rPr>
              <w:t>2.1</w:t>
            </w:r>
            <w:r>
              <w:rPr>
                <w:b/>
                <w:bCs/>
                <w:sz w:val="20"/>
                <w:szCs w:val="18"/>
              </w:rPr>
              <w:t>.</w:t>
            </w:r>
            <w:r w:rsidRPr="000E4F14">
              <w:rPr>
                <w:b/>
                <w:sz w:val="20"/>
                <w:szCs w:val="18"/>
              </w:rPr>
              <w:t xml:space="preserve"> Podstawowe elementy procesów transportowych</w:t>
            </w:r>
          </w:p>
        </w:tc>
      </w:tr>
      <w:tr w:rsidR="00560580" w:rsidRPr="00B0423D" w:rsidTr="00F97EA2">
        <w:trPr>
          <w:trHeight w:val="664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Wybrane u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szczegółowione efekty kształcenia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Uczeń po zrealizowaniu zajęć potrafi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Metody </w:t>
            </w:r>
          </w:p>
        </w:tc>
      </w:tr>
      <w:tr w:rsidR="00560580" w:rsidRPr="00B0423D" w:rsidTr="00F97EA2">
        <w:trPr>
          <w:trHeight w:val="913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</w:tr>
      <w:tr w:rsidR="00560580" w:rsidRPr="00B0423D" w:rsidTr="00267DDF">
        <w:trPr>
          <w:trHeight w:val="6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A.28.1(1)1 </w:t>
            </w:r>
            <w:r w:rsidRPr="000E4F14">
              <w:rPr>
                <w:rFonts w:cs="ArialMT"/>
                <w:sz w:val="18"/>
                <w:szCs w:val="18"/>
              </w:rPr>
              <w:t>określić znaczenie transportu dla gospodarki narodowej;</w:t>
            </w:r>
          </w:p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A.28.1(1)2 </w:t>
            </w:r>
            <w:r w:rsidRPr="000E4F14">
              <w:rPr>
                <w:rFonts w:cs="ArialMT"/>
                <w:sz w:val="18"/>
                <w:szCs w:val="18"/>
              </w:rPr>
              <w:t>scharakteryzować strukturę transportu w Polsce;</w:t>
            </w:r>
          </w:p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A.28.1(2)2 </w:t>
            </w:r>
            <w:r w:rsidRPr="000E4F14">
              <w:rPr>
                <w:rFonts w:cs="ArialMT"/>
                <w:sz w:val="18"/>
                <w:szCs w:val="18"/>
              </w:rPr>
              <w:t>określić podaż i popyt na rynku usług transportowych;</w:t>
            </w:r>
          </w:p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A.28.5(5)1 </w:t>
            </w:r>
            <w:r w:rsidRPr="000E4F14">
              <w:rPr>
                <w:rFonts w:cs="ArialMT"/>
                <w:sz w:val="18"/>
                <w:szCs w:val="18"/>
              </w:rPr>
              <w:t>stosować zasady zarządzania jakością usług transportowo-spedycyjnych</w:t>
            </w:r>
          </w:p>
          <w:p w:rsidR="00560580" w:rsidRPr="00B0423D" w:rsidRDefault="00560580" w:rsidP="00267DDF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A.28.1(1)1 </w:t>
            </w:r>
            <w:r w:rsidRPr="000E4F14">
              <w:rPr>
                <w:rFonts w:cs="ArialMT"/>
                <w:sz w:val="18"/>
                <w:szCs w:val="18"/>
              </w:rPr>
              <w:t>określić znaczenie transportu dla gospodarki narodowej;</w:t>
            </w:r>
          </w:p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A.28.1(1)2 </w:t>
            </w:r>
            <w:r w:rsidRPr="000E4F14">
              <w:rPr>
                <w:rFonts w:cs="ArialMT"/>
                <w:sz w:val="18"/>
                <w:szCs w:val="18"/>
              </w:rPr>
              <w:t>scharakteryzować strukturę transportu w Polsce;</w:t>
            </w:r>
          </w:p>
          <w:p w:rsidR="00560580" w:rsidRPr="00F839FB" w:rsidRDefault="00560580" w:rsidP="00267D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 xml:space="preserve">Dodano: </w:t>
            </w:r>
            <w:r w:rsidRPr="00F839FB">
              <w:rPr>
                <w:sz w:val="18"/>
                <w:szCs w:val="18"/>
              </w:rPr>
              <w:t>A.28.1(1)3. wymienić firmy spedycyjne i firmy pokrewne działające na rynku lokalnym</w:t>
            </w: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A.28.1(2)2 </w:t>
            </w:r>
            <w:r w:rsidRPr="000E4F14">
              <w:rPr>
                <w:rFonts w:cs="ArialMT"/>
                <w:sz w:val="18"/>
                <w:szCs w:val="18"/>
              </w:rPr>
              <w:t>określić podaż i popyt na rynku usług transport</w:t>
            </w:r>
            <w:r w:rsidR="00267DDF">
              <w:rPr>
                <w:rFonts w:cs="ArialMT"/>
                <w:sz w:val="18"/>
                <w:szCs w:val="18"/>
              </w:rPr>
              <w:t xml:space="preserve">owych </w:t>
            </w:r>
            <w:r w:rsidRPr="003E1A26">
              <w:rPr>
                <w:rFonts w:cs="ArialMT"/>
                <w:sz w:val="18"/>
                <w:szCs w:val="18"/>
              </w:rPr>
              <w:t>w tym rynku lokalnym</w:t>
            </w:r>
          </w:p>
          <w:p w:rsidR="00560580" w:rsidRPr="003E1A26" w:rsidRDefault="00560580" w:rsidP="00267DDF">
            <w:pPr>
              <w:rPr>
                <w:rFonts w:eastAsia="Arial Unicode MS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A.28.5(5)1 </w:t>
            </w:r>
            <w:r w:rsidRPr="000E4F14">
              <w:rPr>
                <w:rFonts w:cs="ArialMT"/>
                <w:sz w:val="18"/>
                <w:szCs w:val="18"/>
              </w:rPr>
              <w:t>stosować zasady zarządzania jakością usług transportowo-spedycyjnych</w:t>
            </w:r>
            <w:r w:rsidR="00267DDF">
              <w:rPr>
                <w:rFonts w:cs="ArialMT"/>
                <w:sz w:val="18"/>
                <w:szCs w:val="18"/>
              </w:rPr>
              <w:t xml:space="preserve"> </w:t>
            </w:r>
            <w:r w:rsidRPr="003E1A26">
              <w:rPr>
                <w:rFonts w:cs="ArialMT"/>
                <w:sz w:val="18"/>
                <w:szCs w:val="18"/>
              </w:rPr>
              <w:t>z wykorzystaniem Internetowej bazy danych</w:t>
            </w:r>
            <w:r>
              <w:rPr>
                <w:rFonts w:cs="ArialMT"/>
                <w:sz w:val="18"/>
                <w:szCs w:val="18"/>
              </w:rPr>
              <w:t xml:space="preserve"> oraz programów do spedycji</w:t>
            </w: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Pr="0017597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ED00A7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Dominującą metodą powinny być aktywizujące metody kształcenia, ze szczególnym uwzględnieniem dyskusji dydaktycznej, metody sytuacyjnej oraz metody przypadków. Uczniowie</w:t>
            </w:r>
            <w:r w:rsidR="00267DDF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 xml:space="preserve">powinni otrzymywać zróżnicowane pomoce dydaktyczne </w:t>
            </w:r>
            <w:r w:rsidRPr="000E4F14">
              <w:rPr>
                <w:sz w:val="18"/>
                <w:szCs w:val="18"/>
              </w:rPr>
              <w:t>ułatwiające wykonywanie ćwiczeń rozwijających umiejętności porównania warunków ubezpieczenia w transporcie krajowym i międzynarodowym.</w:t>
            </w:r>
            <w:r w:rsidR="00267DDF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>Ćwiczenia należy poprzedz</w:t>
            </w:r>
            <w:r w:rsidRPr="000E4F14">
              <w:rPr>
                <w:sz w:val="18"/>
                <w:szCs w:val="18"/>
              </w:rPr>
              <w:t>ić</w:t>
            </w:r>
            <w:r w:rsidR="00267DDF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>dyskusją.</w:t>
            </w:r>
          </w:p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Dominującą metodą powinny być aktywizujące metody kształcenia, ze szczególnym uwzględnieniem dyskusji dydaktycznej, metody sytuacyjnej</w:t>
            </w:r>
            <w:r>
              <w:rPr>
                <w:sz w:val="18"/>
                <w:szCs w:val="18"/>
              </w:rPr>
              <w:t>, samodzielnej pracy przy komputerze</w:t>
            </w:r>
            <w:r w:rsidRPr="000E4F14">
              <w:rPr>
                <w:sz w:val="18"/>
                <w:szCs w:val="18"/>
              </w:rPr>
              <w:t xml:space="preserve"> oraz metody przypadków. Uczniowie</w:t>
            </w:r>
            <w:r w:rsidR="00267DDF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 xml:space="preserve">powinni otrzymywać zróżnicowane pomoce dydaktyczne </w:t>
            </w:r>
            <w:r w:rsidRPr="000E4F14">
              <w:rPr>
                <w:sz w:val="18"/>
                <w:szCs w:val="18"/>
              </w:rPr>
              <w:t xml:space="preserve">ułatwiające wykonywanie ćwiczeń rozwijających umiejętności </w:t>
            </w:r>
            <w:r>
              <w:rPr>
                <w:sz w:val="18"/>
                <w:szCs w:val="18"/>
              </w:rPr>
              <w:t xml:space="preserve">samodzielnej analizy, </w:t>
            </w:r>
            <w:r w:rsidRPr="000E4F14">
              <w:rPr>
                <w:sz w:val="18"/>
                <w:szCs w:val="18"/>
              </w:rPr>
              <w:t>porównania warunków ubezpieczenia w transporcie krajowym i międzynarodowym.</w:t>
            </w:r>
            <w:r w:rsidR="00267DDF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>Ćwiczenia należy poprzedz</w:t>
            </w:r>
            <w:r w:rsidRPr="000E4F14">
              <w:rPr>
                <w:sz w:val="18"/>
                <w:szCs w:val="18"/>
              </w:rPr>
              <w:t>ić</w:t>
            </w:r>
            <w:r w:rsidR="00267DDF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>dyskusją.</w:t>
            </w: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D057A8" w:rsidRDefault="00D057A8" w:rsidP="00560580">
      <w:pPr>
        <w:pStyle w:val="Akapitzlist"/>
      </w:pPr>
    </w:p>
    <w:p w:rsidR="00D057A8" w:rsidRDefault="00D057A8" w:rsidP="00560580">
      <w:pPr>
        <w:pStyle w:val="Akapitzlist"/>
      </w:pPr>
    </w:p>
    <w:tbl>
      <w:tblPr>
        <w:tblW w:w="131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8"/>
        <w:gridCol w:w="4252"/>
        <w:gridCol w:w="2666"/>
        <w:gridCol w:w="2419"/>
      </w:tblGrid>
      <w:tr w:rsidR="00560580" w:rsidRPr="00B0423D" w:rsidTr="00F97EA2">
        <w:trPr>
          <w:trHeight w:val="664"/>
          <w:jc w:val="center"/>
        </w:trPr>
        <w:tc>
          <w:tcPr>
            <w:tcW w:w="13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spacing w:after="60"/>
              <w:outlineLvl w:val="1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2.2 </w:t>
            </w:r>
            <w:r w:rsidRPr="00893880">
              <w:rPr>
                <w:b/>
              </w:rPr>
              <w:t>Odpowiedzialność spedytora</w:t>
            </w:r>
          </w:p>
        </w:tc>
      </w:tr>
      <w:tr w:rsidR="00560580" w:rsidRPr="00B0423D" w:rsidTr="00F97EA2">
        <w:trPr>
          <w:trHeight w:val="664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Wybrane u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szczegółowione efekty kształcenia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Uczeń po zrealizowaniu zajęć potrafi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Metody </w:t>
            </w:r>
          </w:p>
        </w:tc>
      </w:tr>
      <w:tr w:rsidR="00560580" w:rsidRPr="00B0423D" w:rsidTr="00F97EA2">
        <w:trPr>
          <w:trHeight w:val="913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</w:tr>
      <w:tr w:rsidR="00560580" w:rsidRPr="00B0423D" w:rsidTr="00267DDF">
        <w:trPr>
          <w:trHeight w:val="6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A.28.4(3)1 </w:t>
            </w:r>
            <w:r w:rsidRPr="000E4F14">
              <w:rPr>
                <w:rFonts w:cs="ArialMT"/>
                <w:sz w:val="18"/>
                <w:szCs w:val="18"/>
              </w:rPr>
              <w:t>określić prawa i obowiązki przewoźnika;</w:t>
            </w:r>
          </w:p>
          <w:p w:rsidR="00560580" w:rsidRPr="00B0423D" w:rsidRDefault="00560580" w:rsidP="00267DDF">
            <w:pPr>
              <w:rPr>
                <w:rFonts w:cs="Calibri"/>
                <w:bCs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A.28.4(3)2 </w:t>
            </w:r>
            <w:r w:rsidRPr="000E4F14">
              <w:rPr>
                <w:rFonts w:cs="ArialMT"/>
                <w:sz w:val="18"/>
                <w:szCs w:val="18"/>
              </w:rPr>
              <w:t>scharakteryzować przepisy Unii Europejskiej dotyczące transportu;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A.28.4(3)1 </w:t>
            </w:r>
            <w:r w:rsidRPr="000E4F14">
              <w:rPr>
                <w:rFonts w:cs="ArialMT"/>
                <w:sz w:val="18"/>
                <w:szCs w:val="18"/>
              </w:rPr>
              <w:t>określić prawa i obowiązki przewoźnika;</w:t>
            </w:r>
          </w:p>
          <w:p w:rsidR="00560580" w:rsidRDefault="00560580" w:rsidP="00267DDF">
            <w:pPr>
              <w:rPr>
                <w:rFonts w:cs="ArialMT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A.28.4(3)2 </w:t>
            </w:r>
            <w:r w:rsidRPr="000E4F14">
              <w:rPr>
                <w:rFonts w:cs="ArialMT"/>
                <w:sz w:val="18"/>
                <w:szCs w:val="18"/>
              </w:rPr>
              <w:t>scharakteryzować przepisy Unii Europejskiej dotyczące transportu;</w:t>
            </w: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 xml:space="preserve">Dodano: </w:t>
            </w:r>
            <w:r w:rsidRPr="003E1A26">
              <w:rPr>
                <w:sz w:val="18"/>
                <w:szCs w:val="18"/>
              </w:rPr>
              <w:t>A.28.4(3) samodzielnie określić bieżące zmiany w aktach prawnych dotyczących transportu.</w:t>
            </w: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Pr="0017597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ED00A7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Dominującą metodą powinny być aktywizujące metody kształcenia, ze szczególnym uwzględnieniem dyskusji dydaktycznej, metody sytuacyjnej oraz metody przypadków. Uczniowie</w:t>
            </w:r>
            <w:r w:rsidR="00F06B86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 xml:space="preserve">powinni otrzymywać zróżnicowane pomoce dydaktyczne </w:t>
            </w:r>
            <w:r w:rsidRPr="000E4F14">
              <w:rPr>
                <w:sz w:val="18"/>
                <w:szCs w:val="18"/>
              </w:rPr>
              <w:t>ułatwiające wykonywanie ćwiczeń rozwijających umiejętności porównania warunków ubezpieczenia w transporcie krajowym i międzynarodowym.</w:t>
            </w:r>
            <w:r w:rsidR="00F06B86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>Ćwiczenia należy poprzedz</w:t>
            </w:r>
            <w:r w:rsidRPr="000E4F14">
              <w:rPr>
                <w:sz w:val="18"/>
                <w:szCs w:val="18"/>
              </w:rPr>
              <w:t>ić</w:t>
            </w:r>
            <w:r w:rsidR="00F06B86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>dyskusją.</w:t>
            </w:r>
          </w:p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Dominującą metodą powinny być aktywizujące metody kształcenia, ze szczególnym uwzględnieniem dyskusji dydaktycznej, metody sytuacyjnej</w:t>
            </w:r>
            <w:r>
              <w:rPr>
                <w:sz w:val="18"/>
                <w:szCs w:val="18"/>
              </w:rPr>
              <w:t>, samodzielnej pracy przy komputerze</w:t>
            </w:r>
            <w:r w:rsidRPr="000E4F14">
              <w:rPr>
                <w:sz w:val="18"/>
                <w:szCs w:val="18"/>
              </w:rPr>
              <w:t xml:space="preserve"> oraz metody przypadków. Uczniowie</w:t>
            </w:r>
            <w:r w:rsidR="00F06B86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 xml:space="preserve">powinni otrzymywać zróżnicowane pomoce dydaktyczne </w:t>
            </w:r>
            <w:r w:rsidRPr="000E4F14">
              <w:rPr>
                <w:sz w:val="18"/>
                <w:szCs w:val="18"/>
              </w:rPr>
              <w:t xml:space="preserve">ułatwiające wykonywanie ćwiczeń rozwijających umiejętności </w:t>
            </w:r>
            <w:r>
              <w:rPr>
                <w:sz w:val="18"/>
                <w:szCs w:val="18"/>
              </w:rPr>
              <w:t xml:space="preserve">samodzielnej analizy, </w:t>
            </w:r>
            <w:r w:rsidRPr="000E4F14">
              <w:rPr>
                <w:sz w:val="18"/>
                <w:szCs w:val="18"/>
              </w:rPr>
              <w:t>porównania warunków ubezpieczenia w transporcie krajowym i międzynarodowym.</w:t>
            </w:r>
            <w:r w:rsidR="00F06B86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>Ćwiczenia należy poprzedz</w:t>
            </w:r>
            <w:r w:rsidRPr="000E4F14">
              <w:rPr>
                <w:sz w:val="18"/>
                <w:szCs w:val="18"/>
              </w:rPr>
              <w:t>ić</w:t>
            </w:r>
            <w:r w:rsidR="00F06B86">
              <w:rPr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>dyskusją.</w:t>
            </w: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Pr="003E1A26" w:rsidRDefault="00560580" w:rsidP="00560580">
      <w:pPr>
        <w:pStyle w:val="Nagwek2"/>
        <w:rPr>
          <w:sz w:val="22"/>
          <w:szCs w:val="22"/>
        </w:rPr>
      </w:pPr>
      <w:bookmarkStart w:id="4" w:name="_Toc324806056"/>
      <w:bookmarkStart w:id="5" w:name="_Toc341861260"/>
      <w:r>
        <w:rPr>
          <w:sz w:val="22"/>
          <w:szCs w:val="22"/>
        </w:rPr>
        <w:t xml:space="preserve">Przedmiot: </w:t>
      </w:r>
      <w:r w:rsidRPr="003E1A26">
        <w:rPr>
          <w:sz w:val="22"/>
          <w:szCs w:val="22"/>
        </w:rPr>
        <w:t>Przewóz ładunku</w:t>
      </w:r>
      <w:bookmarkEnd w:id="4"/>
      <w:bookmarkEnd w:id="5"/>
    </w:p>
    <w:tbl>
      <w:tblPr>
        <w:tblW w:w="131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8"/>
        <w:gridCol w:w="4252"/>
        <w:gridCol w:w="2666"/>
        <w:gridCol w:w="2419"/>
      </w:tblGrid>
      <w:tr w:rsidR="00560580" w:rsidRPr="00B0423D" w:rsidTr="00F97EA2">
        <w:trPr>
          <w:trHeight w:val="664"/>
          <w:jc w:val="center"/>
        </w:trPr>
        <w:tc>
          <w:tcPr>
            <w:tcW w:w="13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spacing w:after="60"/>
              <w:outlineLvl w:val="1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93880">
              <w:rPr>
                <w:b/>
                <w:bCs/>
                <w:sz w:val="20"/>
                <w:szCs w:val="20"/>
              </w:rPr>
              <w:lastRenderedPageBreak/>
              <w:t xml:space="preserve">3.1. </w:t>
            </w:r>
            <w:r w:rsidRPr="00893880">
              <w:rPr>
                <w:b/>
                <w:sz w:val="20"/>
                <w:szCs w:val="20"/>
              </w:rPr>
              <w:t>Ładunki i jednostki transportowe</w:t>
            </w:r>
          </w:p>
        </w:tc>
      </w:tr>
      <w:tr w:rsidR="00560580" w:rsidRPr="00B0423D" w:rsidTr="00F97EA2">
        <w:trPr>
          <w:trHeight w:val="664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Wybrane u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szczegółowione efekty kształcenia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Uczeń po zrealizowaniu zajęć potrafi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Metody </w:t>
            </w:r>
          </w:p>
        </w:tc>
      </w:tr>
      <w:tr w:rsidR="00560580" w:rsidRPr="00B0423D" w:rsidTr="00F97EA2">
        <w:trPr>
          <w:trHeight w:val="913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</w:tr>
      <w:tr w:rsidR="00560580" w:rsidRPr="00B0423D" w:rsidTr="00267DDF">
        <w:trPr>
          <w:trHeight w:val="6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A.28.2(1)1 definiować pojęcie ładunku transportowego;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A.28.2(1)2 scharakteryzować poszczególne rodzaje ładunków transportowych klasyfikowane według różnych kryteriów (naturalnej podatności, technicznej podatności, ekonomicznej podatności, sposobów załadunku, wielkości);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</w:p>
          <w:p w:rsidR="00560580" w:rsidRDefault="00560580" w:rsidP="00267DDF">
            <w:pPr>
              <w:rPr>
                <w:sz w:val="18"/>
                <w:szCs w:val="18"/>
              </w:rPr>
            </w:pP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781CF3">
              <w:rPr>
                <w:sz w:val="18"/>
                <w:szCs w:val="18"/>
              </w:rPr>
              <w:t>A.28.2(3)1 scharakteryzować zasady formowania jednostek ładunkowych;</w:t>
            </w:r>
          </w:p>
          <w:p w:rsidR="00560580" w:rsidRPr="00B0423D" w:rsidRDefault="00560580" w:rsidP="00267DDF">
            <w:pPr>
              <w:rPr>
                <w:rFonts w:cs="Calibri"/>
                <w:bCs/>
                <w:sz w:val="18"/>
                <w:szCs w:val="18"/>
              </w:rPr>
            </w:pPr>
            <w:r w:rsidRPr="00781CF3">
              <w:rPr>
                <w:sz w:val="18"/>
                <w:szCs w:val="18"/>
              </w:rPr>
              <w:t>A.28.2(3)3 scharakteryzować zasady formowania pakietowych jednostek ładunkowych;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A.28.2(1)1 definiować pojęcie ładunku transportowego;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A.28.2(1)2 scharakteryzować poszczególne rodzaje ładunków transportowych klasyfikowane według różnych kryteriów (naturalnej podatności, technicznej podatności, ekonomicznej podatności, sposobów załadunku, wielkości);</w:t>
            </w:r>
          </w:p>
          <w:p w:rsidR="00560580" w:rsidRPr="003E1A26" w:rsidRDefault="00560580" w:rsidP="00267DDF">
            <w:pPr>
              <w:rPr>
                <w:rFonts w:eastAsia="Arial Unicode MS"/>
                <w:sz w:val="18"/>
                <w:szCs w:val="18"/>
              </w:rPr>
            </w:pPr>
            <w:r w:rsidRPr="003E1A26">
              <w:rPr>
                <w:sz w:val="18"/>
                <w:szCs w:val="18"/>
              </w:rPr>
              <w:t>Dodano: A.28.2(1)3 scharakteryzować poszczególne rodzaje ładunków transportowych na lokalnym/regionalnym rynku transportowym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781CF3">
              <w:rPr>
                <w:sz w:val="18"/>
                <w:szCs w:val="18"/>
              </w:rPr>
              <w:t>A.28.2(3)1 scharakteryzować zasady formowania jednostek ładunkowych;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781CF3">
              <w:rPr>
                <w:sz w:val="18"/>
                <w:szCs w:val="18"/>
              </w:rPr>
              <w:t>A.28.2(3)3 scharakteryzować zasady formowania pakietowych jednostek ładunkowych;</w:t>
            </w:r>
          </w:p>
          <w:p w:rsidR="00560580" w:rsidRPr="00531921" w:rsidRDefault="00560580" w:rsidP="00267D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Dodano: </w:t>
            </w:r>
            <w:r w:rsidRPr="00531921">
              <w:rPr>
                <w:sz w:val="18"/>
                <w:szCs w:val="18"/>
              </w:rPr>
              <w:t>A.28.2(3)4 sformułować paletową i pakietową jednostkę ładunkową korzystając z Internetowych ofert firm transportowych</w:t>
            </w: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Pr="0017597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741893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Dominującą metodą powinny być aktywizujące metody kształcenia, ze szczególnym uwzględnieniem ćwiczeń i tekstu przewodniego. Uczniowie powinni otrzymywać zróżnicowane pomoce dydaktyczne ułatwiające wykonywanie ćwiczeń rozwijających umiejętności </w:t>
            </w:r>
            <w:r w:rsidRPr="000E4F14">
              <w:rPr>
                <w:rFonts w:cs="Arial"/>
                <w:sz w:val="18"/>
                <w:szCs w:val="18"/>
              </w:rPr>
              <w:t>planowania oraz opracowywania charakterystyk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41893">
              <w:rPr>
                <w:sz w:val="18"/>
                <w:szCs w:val="18"/>
              </w:rPr>
              <w:t xml:space="preserve">Ćwiczenia należy poprzedzić zastosowaniem na wstępie podających metod nauczania, tj. mini </w:t>
            </w:r>
            <w:r>
              <w:rPr>
                <w:sz w:val="18"/>
                <w:szCs w:val="18"/>
              </w:rPr>
              <w:t>wykładu, pogadanki.</w:t>
            </w:r>
          </w:p>
          <w:p w:rsidR="00560580" w:rsidRPr="00ED00A7" w:rsidRDefault="00560580" w:rsidP="00267DDF">
            <w:pPr>
              <w:rPr>
                <w:sz w:val="18"/>
                <w:szCs w:val="18"/>
              </w:rPr>
            </w:pPr>
          </w:p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0580" w:rsidRPr="00741893" w:rsidRDefault="00560580" w:rsidP="00267DDF">
            <w:pPr>
              <w:rPr>
                <w:sz w:val="18"/>
                <w:szCs w:val="18"/>
              </w:rPr>
            </w:pPr>
            <w:r w:rsidRPr="00ED00A7">
              <w:rPr>
                <w:sz w:val="18"/>
                <w:szCs w:val="18"/>
              </w:rPr>
              <w:t>.</w:t>
            </w:r>
            <w:r w:rsidRPr="000E4F14">
              <w:rPr>
                <w:sz w:val="18"/>
                <w:szCs w:val="18"/>
              </w:rPr>
              <w:t xml:space="preserve"> Dominującą metodą powinny być aktywizujące metody kształcenia, ze szczególnym uwzględnieniem metody </w:t>
            </w:r>
            <w:r w:rsidRPr="00531921">
              <w:rPr>
                <w:sz w:val="18"/>
                <w:szCs w:val="18"/>
              </w:rPr>
              <w:t>projektu,</w:t>
            </w:r>
            <w:r w:rsidR="00F06B86">
              <w:rPr>
                <w:sz w:val="18"/>
                <w:szCs w:val="18"/>
              </w:rPr>
              <w:t xml:space="preserve"> </w:t>
            </w:r>
            <w:r w:rsidRPr="000E4F14">
              <w:rPr>
                <w:sz w:val="18"/>
                <w:szCs w:val="18"/>
              </w:rPr>
              <w:t xml:space="preserve">ćwiczeń i tekstu przewodniego. Uczniowie powinni otrzymywać zróżnicowane pomoce dydaktyczne ułatwiające wykonywanie ćwiczeń rozwijających umiejętności </w:t>
            </w:r>
            <w:r w:rsidRPr="000E4F14">
              <w:rPr>
                <w:rFonts w:cs="Arial"/>
                <w:sz w:val="18"/>
                <w:szCs w:val="18"/>
              </w:rPr>
              <w:t>planowania oraz opracowywania charakterystyk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531921">
              <w:rPr>
                <w:rFonts w:cs="Arial"/>
                <w:sz w:val="18"/>
                <w:szCs w:val="18"/>
              </w:rPr>
              <w:t>wykorzystywać internetową bazę danych</w:t>
            </w:r>
            <w:r w:rsidR="00F06B86">
              <w:rPr>
                <w:rFonts w:cs="Arial"/>
                <w:sz w:val="18"/>
                <w:szCs w:val="18"/>
              </w:rPr>
              <w:t xml:space="preserve">. </w:t>
            </w:r>
            <w:r w:rsidRPr="00741893">
              <w:rPr>
                <w:sz w:val="18"/>
                <w:szCs w:val="18"/>
              </w:rPr>
              <w:t xml:space="preserve">Ćwiczenia należy poprzedzić zastosowaniem na wstępie podających metod nauczania, tj. mini </w:t>
            </w:r>
            <w:r>
              <w:rPr>
                <w:sz w:val="18"/>
                <w:szCs w:val="18"/>
              </w:rPr>
              <w:t>wykładu, pogadanki.</w:t>
            </w: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D057A8" w:rsidRDefault="00D057A8" w:rsidP="00560580">
      <w:pPr>
        <w:pStyle w:val="Akapitzlist"/>
      </w:pPr>
    </w:p>
    <w:p w:rsidR="00D057A8" w:rsidRDefault="00D057A8" w:rsidP="00560580">
      <w:pPr>
        <w:pStyle w:val="Akapitzlist"/>
      </w:pPr>
    </w:p>
    <w:tbl>
      <w:tblPr>
        <w:tblW w:w="131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8"/>
        <w:gridCol w:w="4252"/>
        <w:gridCol w:w="2666"/>
        <w:gridCol w:w="2419"/>
      </w:tblGrid>
      <w:tr w:rsidR="00560580" w:rsidRPr="00B0423D" w:rsidTr="00F97EA2">
        <w:trPr>
          <w:trHeight w:val="664"/>
          <w:jc w:val="center"/>
        </w:trPr>
        <w:tc>
          <w:tcPr>
            <w:tcW w:w="13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spacing w:after="60"/>
              <w:outlineLvl w:val="1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Cs w:val="18"/>
                <w:lang w:eastAsia="pl-PL"/>
              </w:rPr>
              <w:lastRenderedPageBreak/>
              <w:t xml:space="preserve">3.3 </w:t>
            </w:r>
            <w:r w:rsidRPr="000E4F14">
              <w:rPr>
                <w:b/>
                <w:bCs/>
                <w:szCs w:val="18"/>
                <w:lang w:eastAsia="pl-PL"/>
              </w:rPr>
              <w:t>Środki techniczne oraz środki transportu i ich dokumentacją</w:t>
            </w:r>
          </w:p>
        </w:tc>
      </w:tr>
      <w:tr w:rsidR="00560580" w:rsidRPr="00B0423D" w:rsidTr="00F97EA2">
        <w:trPr>
          <w:trHeight w:val="664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Wybrane u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szczegółowione efekty kształcenia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Uczeń po zrealizowaniu zajęć potrafi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Metody </w:t>
            </w:r>
          </w:p>
        </w:tc>
      </w:tr>
      <w:tr w:rsidR="00560580" w:rsidRPr="00B0423D" w:rsidTr="00F97EA2">
        <w:trPr>
          <w:trHeight w:val="913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</w:tr>
      <w:tr w:rsidR="00560580" w:rsidRPr="00B0423D" w:rsidTr="003219CB">
        <w:trPr>
          <w:trHeight w:val="6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580" w:rsidRDefault="00560580" w:rsidP="003219CB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A.28.1(4)1 scharakteryzować środki transportu;</w:t>
            </w:r>
          </w:p>
          <w:p w:rsidR="00560580" w:rsidRDefault="00560580" w:rsidP="003219CB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A.28.1(4)2 scharakteryzować środki techniczne;</w:t>
            </w:r>
          </w:p>
          <w:p w:rsidR="00560580" w:rsidRPr="00531921" w:rsidRDefault="00560580" w:rsidP="003219CB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Default="00560580" w:rsidP="003219CB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A.28.1(4)1 scharakteryzować środki transportu;</w:t>
            </w:r>
          </w:p>
          <w:p w:rsidR="00560580" w:rsidRDefault="00560580" w:rsidP="003219CB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A.28.1(4)2 scharakteryzować środki techniczne;</w:t>
            </w:r>
          </w:p>
          <w:p w:rsidR="00560580" w:rsidRDefault="00560580" w:rsidP="00321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Dodano: </w:t>
            </w:r>
            <w:r w:rsidRPr="00531921">
              <w:rPr>
                <w:sz w:val="18"/>
                <w:szCs w:val="18"/>
              </w:rPr>
              <w:t>A.28.1(4)3 scharakteryzować środki transportu i środki techniczne zaprezentowan</w:t>
            </w:r>
            <w:r w:rsidR="00F06B86">
              <w:rPr>
                <w:sz w:val="18"/>
                <w:szCs w:val="18"/>
              </w:rPr>
              <w:t>i</w:t>
            </w:r>
            <w:r w:rsidRPr="00531921">
              <w:rPr>
                <w:sz w:val="18"/>
                <w:szCs w:val="18"/>
              </w:rPr>
              <w:t>e</w:t>
            </w:r>
            <w:r w:rsidR="00F06B86">
              <w:rPr>
                <w:sz w:val="18"/>
                <w:szCs w:val="18"/>
              </w:rPr>
              <w:t xml:space="preserve"> </w:t>
            </w:r>
            <w:r w:rsidRPr="00531921">
              <w:rPr>
                <w:sz w:val="18"/>
                <w:szCs w:val="18"/>
              </w:rPr>
              <w:t>w lokalnych firmach transportowo-spedycyjnych</w:t>
            </w:r>
          </w:p>
          <w:p w:rsidR="00560580" w:rsidRPr="00531921" w:rsidRDefault="00560580" w:rsidP="003219CB">
            <w:pPr>
              <w:rPr>
                <w:rFonts w:eastAsia="Arial Unicode MS"/>
                <w:sz w:val="18"/>
                <w:szCs w:val="18"/>
              </w:rPr>
            </w:pPr>
            <w:r w:rsidRPr="00531921">
              <w:rPr>
                <w:sz w:val="18"/>
                <w:szCs w:val="18"/>
              </w:rPr>
              <w:t>A.28.1(4)4 wykonać prezentację multimedialną środków transportu: uniwersalnych, specjalizowanych i specjalnych</w:t>
            </w: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Pr="0017597D" w:rsidRDefault="00560580" w:rsidP="003219C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0E4F14" w:rsidRDefault="00560580" w:rsidP="003219CB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Dominującą metodą  powinny być aktywizujące metody kształcenia, ze szczególnym uwzględnieniem metody ćwiczeń i tekstu przewodniego. Uczniowie powinni otrzymywać zróżnicowane pomoce dydaktyczne ułatwiające wykonywanie ćwiczeń rozwijających umiejętności sporządzenia dokumentacji środków technicznych.</w:t>
            </w:r>
          </w:p>
          <w:p w:rsidR="00560580" w:rsidRPr="00741893" w:rsidRDefault="00560580" w:rsidP="003219CB">
            <w:pPr>
              <w:rPr>
                <w:sz w:val="18"/>
                <w:szCs w:val="18"/>
              </w:rPr>
            </w:pPr>
          </w:p>
          <w:p w:rsidR="00560580" w:rsidRPr="00ED00A7" w:rsidRDefault="00560580" w:rsidP="003219CB">
            <w:pPr>
              <w:rPr>
                <w:sz w:val="18"/>
                <w:szCs w:val="18"/>
              </w:rPr>
            </w:pPr>
          </w:p>
          <w:p w:rsidR="00560580" w:rsidRPr="000E4F14" w:rsidRDefault="00560580" w:rsidP="003219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0580" w:rsidRPr="000E4F14" w:rsidRDefault="00560580" w:rsidP="003219CB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0580" w:rsidRPr="000E4F14" w:rsidRDefault="00560580" w:rsidP="003219CB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Dominującą metodą  powinny być aktywizujące metody kształcenia, ze szczególnym uwzględnieniem metody ćwiczeń</w:t>
            </w:r>
            <w:r>
              <w:rPr>
                <w:sz w:val="18"/>
                <w:szCs w:val="18"/>
              </w:rPr>
              <w:t xml:space="preserve"> z wykorzystaniem komputerów</w:t>
            </w:r>
            <w:r w:rsidRPr="000E4F14">
              <w:rPr>
                <w:sz w:val="18"/>
                <w:szCs w:val="18"/>
              </w:rPr>
              <w:t xml:space="preserve"> i tekstu przewodniego. Uczniowie powinni otrzymywać zróżnicowane pomoce dydaktyczne ułatwiające wykonywanie ćwiczeń rozwijających umiejętności sporządzenia dokumentacji środków technicznych.</w:t>
            </w:r>
            <w:r>
              <w:rPr>
                <w:sz w:val="18"/>
                <w:szCs w:val="18"/>
              </w:rPr>
              <w:t xml:space="preserve"> Uczniowie mogą sami rozpoznać środki techniczne, jakimi dysponują lokalni pracodawcy</w:t>
            </w:r>
          </w:p>
          <w:p w:rsidR="00560580" w:rsidRPr="00741893" w:rsidRDefault="00560580" w:rsidP="003219CB">
            <w:pPr>
              <w:rPr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D057A8" w:rsidRDefault="00D057A8" w:rsidP="00193545">
      <w:pPr>
        <w:pStyle w:val="Nagwek2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560580" w:rsidRPr="00193545" w:rsidRDefault="00560580" w:rsidP="00193545">
      <w:pPr>
        <w:pStyle w:val="Nagwek2"/>
        <w:rPr>
          <w:sz w:val="22"/>
          <w:szCs w:val="22"/>
        </w:rPr>
      </w:pPr>
      <w:r w:rsidRPr="00531921">
        <w:rPr>
          <w:sz w:val="22"/>
          <w:szCs w:val="22"/>
        </w:rPr>
        <w:t>Przedmiot:</w:t>
      </w:r>
      <w:bookmarkStart w:id="6" w:name="_Toc324806057"/>
      <w:bookmarkStart w:id="7" w:name="_Toc341861261"/>
      <w:r w:rsidRPr="00531921">
        <w:rPr>
          <w:sz w:val="22"/>
          <w:szCs w:val="22"/>
        </w:rPr>
        <w:t xml:space="preserve"> Podstawy prawa transportowego</w:t>
      </w:r>
      <w:bookmarkEnd w:id="6"/>
      <w:bookmarkEnd w:id="7"/>
    </w:p>
    <w:tbl>
      <w:tblPr>
        <w:tblW w:w="131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8"/>
        <w:gridCol w:w="4252"/>
        <w:gridCol w:w="2666"/>
        <w:gridCol w:w="2419"/>
      </w:tblGrid>
      <w:tr w:rsidR="00560580" w:rsidRPr="00B0423D" w:rsidTr="007B4EE5">
        <w:trPr>
          <w:trHeight w:val="621"/>
          <w:jc w:val="center"/>
        </w:trPr>
        <w:tc>
          <w:tcPr>
            <w:tcW w:w="13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spacing w:after="60"/>
              <w:outlineLvl w:val="1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93880">
              <w:rPr>
                <w:b/>
                <w:bCs/>
                <w:sz w:val="20"/>
                <w:szCs w:val="18"/>
              </w:rPr>
              <w:t>4.3.</w:t>
            </w:r>
            <w:r w:rsidRPr="00893880">
              <w:rPr>
                <w:b/>
                <w:sz w:val="20"/>
                <w:szCs w:val="18"/>
              </w:rPr>
              <w:t xml:space="preserve"> Dokumentacja transportowa zgodna z obowiązującymi przepisami prawa</w:t>
            </w:r>
          </w:p>
        </w:tc>
      </w:tr>
      <w:tr w:rsidR="00560580" w:rsidRPr="00B0423D" w:rsidTr="007B4EE5">
        <w:trPr>
          <w:trHeight w:val="546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Wybrane u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szczegółowione efekty kształcenia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Uczeń po zrealizowaniu zajęć potrafi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Metody </w:t>
            </w:r>
          </w:p>
        </w:tc>
      </w:tr>
      <w:tr w:rsidR="00560580" w:rsidRPr="00B0423D" w:rsidTr="007B4EE5">
        <w:trPr>
          <w:trHeight w:val="541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</w:tr>
      <w:tr w:rsidR="00560580" w:rsidRPr="00B0423D" w:rsidTr="00267DDF">
        <w:trPr>
          <w:trHeight w:val="6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A.28.4(1)1 scharakteryzować dokumenty występujące w transporcie</w:t>
            </w:r>
            <w:r w:rsidRPr="00ED00A7">
              <w:rPr>
                <w:sz w:val="18"/>
                <w:szCs w:val="18"/>
              </w:rPr>
              <w:t>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A.28.4(1)2 dokonać analizy zezwoleń na przewóz, instrukcji bezpieczeństwa, oznakowania ładunków i środków transportu;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A.28.4(1)3 ocenić zgodność dokumentacji transportowej i spedycyjnej z</w:t>
            </w:r>
            <w:r w:rsidRPr="00ED00A7">
              <w:rPr>
                <w:sz w:val="18"/>
                <w:szCs w:val="18"/>
              </w:rPr>
              <w:t>obowiązującymi przepisami prawa;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A.28.4(1)4 sporządzić dokumentacje transportową i spedycyjną zgodnie z</w:t>
            </w:r>
            <w:r w:rsidRPr="00ED00A7">
              <w:rPr>
                <w:sz w:val="18"/>
                <w:szCs w:val="18"/>
              </w:rPr>
              <w:t>obowiązującymi przepisami prawa;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A.28.4(1)5 analizować zakres międzynarodowych systemów umów spedycyjnych;</w:t>
            </w:r>
          </w:p>
          <w:p w:rsidR="00560580" w:rsidRDefault="00560580" w:rsidP="00267DDF">
            <w:pPr>
              <w:rPr>
                <w:rFonts w:cs="Calibri"/>
                <w:bCs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cs="Calibri"/>
                <w:bCs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cs="Calibri"/>
                <w:bCs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cs="Calibri"/>
                <w:bCs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A.28.4(4)1 </w:t>
            </w:r>
            <w:r w:rsidRPr="000E4F14">
              <w:rPr>
                <w:rFonts w:eastAsia="Arial Unicode MS"/>
                <w:sz w:val="18"/>
                <w:szCs w:val="18"/>
              </w:rPr>
              <w:t>analizować przepisy dotyczące procedur celnych;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A.28.4(4)2 wyjaśnić zasady dotyczące procedur celnych;</w:t>
            </w:r>
          </w:p>
          <w:p w:rsidR="00560580" w:rsidRPr="001E256D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A.28.4(4)3 dokonać analizy zgodności wykonywanych czynności z obowiązującymi procedurami celnymi;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A.28.4(1)1 scharakteryzować dokumenty występujące w transporcie</w:t>
            </w:r>
            <w:r w:rsidRPr="00ED00A7">
              <w:rPr>
                <w:sz w:val="18"/>
                <w:szCs w:val="18"/>
              </w:rPr>
              <w:t>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A.28.4(1)2 dokonać analizy zezwoleń na przewóz, instrukcji bezpieczeństwa, oznakowania ładunków i środków transportu;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A.28.4(1)3 ocenić zgodność dokumentacji transportowej i spedycyjnej z</w:t>
            </w:r>
            <w:r w:rsidRPr="00ED00A7">
              <w:rPr>
                <w:sz w:val="18"/>
                <w:szCs w:val="18"/>
              </w:rPr>
              <w:t>obowiązującymi przepisami prawa;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A.28.4(1)4 sporządzić dokumentacje transportową i spedycyjną zgodnie z</w:t>
            </w:r>
            <w:r w:rsidRPr="00ED00A7">
              <w:rPr>
                <w:sz w:val="18"/>
                <w:szCs w:val="18"/>
              </w:rPr>
              <w:t>obowiązującymi przepisami prawa;</w:t>
            </w:r>
          </w:p>
          <w:p w:rsidR="00560580" w:rsidRPr="001E256D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A.28.4(1)5 analizować zakres międzynarodowych systemów umów spedycyjnych;</w:t>
            </w:r>
          </w:p>
          <w:p w:rsidR="00560580" w:rsidRPr="001E256D" w:rsidRDefault="00560580" w:rsidP="00267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Dodano: </w:t>
            </w:r>
            <w:r w:rsidRPr="001E256D">
              <w:rPr>
                <w:sz w:val="18"/>
                <w:szCs w:val="18"/>
              </w:rPr>
              <w:t>A.28.4 (1)6 sporządzanie dokumentów transportowych  i spedycyjnych wykorzystywanych  przez lokalne i regionalne przedsiębiorstwa z branży T-S (Transport-Spedycja)  w transporcie drogowym i kolejowym przy przewozach krajowych i w przewozach pomiędzy UE (Polską) a Rosją</w:t>
            </w: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 xml:space="preserve">A.28.4(4)1 </w:t>
            </w:r>
            <w:r w:rsidRPr="000E4F14">
              <w:rPr>
                <w:rFonts w:eastAsia="Arial Unicode MS"/>
                <w:sz w:val="18"/>
                <w:szCs w:val="18"/>
              </w:rPr>
              <w:t>analizować przepisy dotyczące procedur celnych;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A.28.4(4)2 wyjaśnić zasady dotyczące procedur celnych;</w:t>
            </w:r>
          </w:p>
          <w:p w:rsidR="00560580" w:rsidRDefault="00560580" w:rsidP="00267DDF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A.28.4(4)3 dokonać analizy zgodności wykonywanych czynności z obowiązującymi procedurami celnymi;</w:t>
            </w:r>
          </w:p>
          <w:p w:rsidR="00560580" w:rsidRPr="001E256D" w:rsidRDefault="00560580" w:rsidP="00267DDF">
            <w:pPr>
              <w:rPr>
                <w:sz w:val="18"/>
                <w:szCs w:val="18"/>
              </w:rPr>
            </w:pPr>
            <w:r w:rsidRPr="001E256D">
              <w:rPr>
                <w:sz w:val="18"/>
                <w:szCs w:val="18"/>
              </w:rPr>
              <w:t>Dodano : A.28.4 (4)4 sporządzić dokumenty transportowe  i spedycyjne wykorzystywane przez lokalne i regionalne przedsiębiorstwa z br</w:t>
            </w:r>
            <w:r>
              <w:rPr>
                <w:sz w:val="18"/>
                <w:szCs w:val="18"/>
              </w:rPr>
              <w:t>anży TSL</w:t>
            </w:r>
            <w:r w:rsidRPr="001E256D">
              <w:rPr>
                <w:sz w:val="18"/>
                <w:szCs w:val="18"/>
              </w:rPr>
              <w:t xml:space="preserve">  w transporcie drogowym i kolejowym przy przewozach krajowych i w przewozach pomiędzy UE (Polską) a Rosją</w:t>
            </w: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267DDF">
            <w:pPr>
              <w:rPr>
                <w:rFonts w:eastAsia="Arial Unicode MS"/>
                <w:sz w:val="18"/>
                <w:szCs w:val="18"/>
              </w:rPr>
            </w:pPr>
          </w:p>
          <w:p w:rsidR="00560580" w:rsidRPr="0017597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4F14">
              <w:rPr>
                <w:rFonts w:cs="Arial"/>
                <w:sz w:val="18"/>
                <w:szCs w:val="18"/>
              </w:rPr>
              <w:t xml:space="preserve">Dominującą metodą </w:t>
            </w:r>
            <w:r w:rsidRPr="000E4F14">
              <w:rPr>
                <w:sz w:val="18"/>
                <w:szCs w:val="18"/>
              </w:rPr>
              <w:t xml:space="preserve">powinny być </w:t>
            </w:r>
            <w:r w:rsidRPr="000E4F14">
              <w:rPr>
                <w:rFonts w:cs="Arial"/>
                <w:sz w:val="18"/>
                <w:szCs w:val="18"/>
              </w:rPr>
              <w:t xml:space="preserve">aktywizujące metody kształcenia, ze szczególnym uwzględnieniem metody ćwiczeń i metody przypadków. Uczniowie </w:t>
            </w:r>
            <w:r w:rsidRPr="000E4F14">
              <w:rPr>
                <w:sz w:val="18"/>
                <w:szCs w:val="18"/>
              </w:rPr>
              <w:t xml:space="preserve">powinni </w:t>
            </w:r>
            <w:r w:rsidRPr="000E4F14">
              <w:rPr>
                <w:rFonts w:cs="Arial"/>
                <w:sz w:val="18"/>
                <w:szCs w:val="18"/>
              </w:rPr>
              <w:t xml:space="preserve">otrzymywać zróżnicowane pomoce dydaktyczne </w:t>
            </w:r>
            <w:r w:rsidRPr="000E4F14">
              <w:rPr>
                <w:sz w:val="18"/>
                <w:szCs w:val="18"/>
              </w:rPr>
              <w:t>ułatwiające wykonywanie ćwiczeń rozwijających</w:t>
            </w:r>
            <w:r w:rsidRPr="000E4F14">
              <w:rPr>
                <w:rFonts w:cs="Arial"/>
                <w:sz w:val="18"/>
                <w:szCs w:val="18"/>
              </w:rPr>
              <w:t xml:space="preserve"> umiejętności sporządzania dokumentów </w:t>
            </w:r>
            <w:r w:rsidRPr="000E4F14">
              <w:rPr>
                <w:sz w:val="18"/>
                <w:szCs w:val="18"/>
              </w:rPr>
              <w:t>transportowo-spedycyjnych</w:t>
            </w:r>
            <w:r w:rsidRPr="000E4F14">
              <w:rPr>
                <w:rFonts w:cs="Arial"/>
                <w:sz w:val="18"/>
                <w:szCs w:val="18"/>
              </w:rPr>
              <w:t>.</w:t>
            </w:r>
          </w:p>
          <w:p w:rsidR="00560580" w:rsidRPr="000E4F14" w:rsidRDefault="00560580" w:rsidP="00267DDF">
            <w:pPr>
              <w:rPr>
                <w:sz w:val="18"/>
                <w:szCs w:val="18"/>
              </w:rPr>
            </w:pPr>
          </w:p>
          <w:p w:rsidR="00560580" w:rsidRPr="00741893" w:rsidRDefault="00560580" w:rsidP="00267DDF">
            <w:pPr>
              <w:rPr>
                <w:sz w:val="18"/>
                <w:szCs w:val="18"/>
              </w:rPr>
            </w:pPr>
          </w:p>
          <w:p w:rsidR="00560580" w:rsidRPr="00ED00A7" w:rsidRDefault="00560580" w:rsidP="00267DDF">
            <w:pPr>
              <w:rPr>
                <w:sz w:val="18"/>
                <w:szCs w:val="18"/>
              </w:rPr>
            </w:pPr>
          </w:p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0580" w:rsidRPr="000E4F14" w:rsidRDefault="00560580" w:rsidP="00267DDF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0580" w:rsidRDefault="00560580" w:rsidP="00267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4F14">
              <w:rPr>
                <w:rFonts w:cs="Arial"/>
                <w:sz w:val="18"/>
                <w:szCs w:val="18"/>
              </w:rPr>
              <w:t xml:space="preserve">Dominującą metodą </w:t>
            </w:r>
            <w:r w:rsidRPr="000E4F14">
              <w:rPr>
                <w:sz w:val="18"/>
                <w:szCs w:val="18"/>
              </w:rPr>
              <w:t xml:space="preserve">powinny być </w:t>
            </w:r>
            <w:r w:rsidRPr="000E4F14">
              <w:rPr>
                <w:rFonts w:cs="Arial"/>
                <w:sz w:val="18"/>
                <w:szCs w:val="18"/>
              </w:rPr>
              <w:t xml:space="preserve">aktywizujące metody kształcenia, ze szczególnym uwzględnieniem metody ćwiczeń i metody przypadków. Uczniowie </w:t>
            </w:r>
            <w:r w:rsidRPr="000E4F14">
              <w:rPr>
                <w:sz w:val="18"/>
                <w:szCs w:val="18"/>
              </w:rPr>
              <w:t xml:space="preserve">powinni </w:t>
            </w:r>
            <w:r w:rsidRPr="000E4F14">
              <w:rPr>
                <w:rFonts w:cs="Arial"/>
                <w:sz w:val="18"/>
                <w:szCs w:val="18"/>
              </w:rPr>
              <w:t xml:space="preserve">otrzymywać zróżnicowane pomoce dydaktyczne </w:t>
            </w:r>
            <w:r w:rsidRPr="000E4F14">
              <w:rPr>
                <w:sz w:val="18"/>
                <w:szCs w:val="18"/>
              </w:rPr>
              <w:t>ułatwiające wykonywanie ćwiczeń rozwijających</w:t>
            </w:r>
            <w:r w:rsidRPr="000E4F14">
              <w:rPr>
                <w:rFonts w:cs="Arial"/>
                <w:sz w:val="18"/>
                <w:szCs w:val="18"/>
              </w:rPr>
              <w:t xml:space="preserve"> umiejętności sporządzania dokumentów </w:t>
            </w:r>
            <w:r w:rsidRPr="000E4F14">
              <w:rPr>
                <w:sz w:val="18"/>
                <w:szCs w:val="18"/>
              </w:rPr>
              <w:t>transportowo-spedycyjnych</w:t>
            </w:r>
            <w:r>
              <w:rPr>
                <w:rFonts w:cs="Arial"/>
                <w:sz w:val="18"/>
                <w:szCs w:val="18"/>
              </w:rPr>
              <w:t xml:space="preserve">, na podstawie  </w:t>
            </w:r>
            <w:r w:rsidRPr="001E256D">
              <w:rPr>
                <w:sz w:val="18"/>
                <w:szCs w:val="18"/>
              </w:rPr>
              <w:t>dokumentów przewozowych, transportowych i celnych wykorzystywanych przez lokalne/regionalne przedsiębiorstwa z branży spedycyjnej.</w:t>
            </w:r>
            <w:r w:rsidR="00F06B8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Dostęp do internetowej </w:t>
            </w:r>
            <w:r w:rsidRPr="001E256D">
              <w:rPr>
                <w:sz w:val="18"/>
                <w:szCs w:val="18"/>
              </w:rPr>
              <w:t>bazy przepisów prawnych oraz oprogramowania spedycyjnego</w:t>
            </w:r>
            <w:r>
              <w:rPr>
                <w:sz w:val="18"/>
                <w:szCs w:val="18"/>
              </w:rPr>
              <w:t>,</w:t>
            </w:r>
          </w:p>
          <w:p w:rsidR="00560580" w:rsidRPr="00741893" w:rsidRDefault="00560580" w:rsidP="00267DDF">
            <w:pPr>
              <w:rPr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267DDF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193545" w:rsidRDefault="00193545" w:rsidP="00560580">
      <w:pPr>
        <w:pStyle w:val="Nagwek2"/>
        <w:rPr>
          <w:sz w:val="22"/>
          <w:szCs w:val="22"/>
        </w:rPr>
      </w:pPr>
      <w:bookmarkStart w:id="8" w:name="_Toc341861263"/>
    </w:p>
    <w:p w:rsidR="00560580" w:rsidRPr="004D2EB4" w:rsidRDefault="00560580" w:rsidP="00560580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Przedmiot: </w:t>
      </w:r>
      <w:r w:rsidRPr="004D2EB4">
        <w:rPr>
          <w:sz w:val="22"/>
          <w:szCs w:val="22"/>
        </w:rPr>
        <w:t>Organizacja transportu i spedycji</w:t>
      </w:r>
      <w:bookmarkEnd w:id="8"/>
    </w:p>
    <w:tbl>
      <w:tblPr>
        <w:tblW w:w="131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8"/>
        <w:gridCol w:w="4252"/>
        <w:gridCol w:w="2666"/>
        <w:gridCol w:w="2419"/>
      </w:tblGrid>
      <w:tr w:rsidR="00560580" w:rsidRPr="00B0423D" w:rsidTr="00F97EA2">
        <w:trPr>
          <w:trHeight w:val="664"/>
          <w:jc w:val="center"/>
        </w:trPr>
        <w:tc>
          <w:tcPr>
            <w:tcW w:w="13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4D2EB4" w:rsidRDefault="00560580" w:rsidP="00F97EA2">
            <w:pPr>
              <w:spacing w:after="60"/>
              <w:outlineLvl w:val="1"/>
              <w:rPr>
                <w:rFonts w:cs="Calibri"/>
                <w:b/>
                <w:bCs/>
                <w:color w:val="000000"/>
              </w:rPr>
            </w:pPr>
            <w:r w:rsidRPr="004D2EB4">
              <w:rPr>
                <w:rFonts w:cs="Calibri"/>
                <w:b/>
                <w:bCs/>
                <w:color w:val="000000"/>
              </w:rPr>
              <w:t>6.1 Bezpieczeństwo i higiena pracy w organizacji transportu i spedycji</w:t>
            </w:r>
          </w:p>
        </w:tc>
      </w:tr>
      <w:tr w:rsidR="00560580" w:rsidRPr="00B0423D" w:rsidTr="00F97EA2">
        <w:trPr>
          <w:trHeight w:val="664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Wybrane u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szczegółowione efekty kształcenia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Uczeń po zrealizowaniu zajęć potrafi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Metody </w:t>
            </w:r>
          </w:p>
        </w:tc>
      </w:tr>
      <w:tr w:rsidR="00560580" w:rsidRPr="00B0423D" w:rsidTr="00F97EA2">
        <w:trPr>
          <w:trHeight w:val="913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</w:tr>
      <w:tr w:rsidR="00560580" w:rsidRPr="00B0423D" w:rsidTr="003219CB">
        <w:trPr>
          <w:trHeight w:val="6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0580" w:rsidRDefault="00560580" w:rsidP="003219CB">
            <w:pPr>
              <w:rPr>
                <w:sz w:val="18"/>
                <w:szCs w:val="18"/>
              </w:rPr>
            </w:pPr>
            <w:r w:rsidRPr="00ED00A7">
              <w:rPr>
                <w:sz w:val="18"/>
                <w:szCs w:val="18"/>
              </w:rPr>
              <w:t>A.28.1(3)2</w:t>
            </w:r>
            <w:r>
              <w:rPr>
                <w:sz w:val="18"/>
                <w:szCs w:val="18"/>
              </w:rPr>
              <w:t xml:space="preserve"> wyznaczyć trasy przewozu</w:t>
            </w:r>
          </w:p>
          <w:p w:rsidR="00560580" w:rsidRPr="00531921" w:rsidRDefault="00560580" w:rsidP="003219CB">
            <w:pPr>
              <w:rPr>
                <w:rFonts w:cs="Calibri"/>
                <w:bCs/>
                <w:sz w:val="18"/>
                <w:szCs w:val="18"/>
              </w:rPr>
            </w:pPr>
            <w:r w:rsidRPr="00ED00A7">
              <w:rPr>
                <w:sz w:val="18"/>
                <w:szCs w:val="18"/>
              </w:rPr>
              <w:t>A.28.1(6)1</w:t>
            </w:r>
            <w:r w:rsidRPr="000E4F14">
              <w:rPr>
                <w:sz w:val="18"/>
                <w:szCs w:val="18"/>
              </w:rPr>
              <w:t xml:space="preserve"> scharakteryzować parametry realizacji usług transportowych;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  <w:r w:rsidRPr="00ED00A7">
              <w:rPr>
                <w:sz w:val="18"/>
                <w:szCs w:val="18"/>
              </w:rPr>
              <w:t>A.28.1(3)2</w:t>
            </w:r>
            <w:r>
              <w:rPr>
                <w:sz w:val="18"/>
                <w:szCs w:val="18"/>
              </w:rPr>
              <w:t xml:space="preserve"> wyznaczyć trasy przewozu na podstawie map Internetowych i programów spedycyjnych</w:t>
            </w:r>
          </w:p>
          <w:p w:rsidR="00560580" w:rsidRDefault="00560580" w:rsidP="003219CB">
            <w:pPr>
              <w:rPr>
                <w:sz w:val="18"/>
                <w:szCs w:val="18"/>
              </w:rPr>
            </w:pPr>
            <w:r w:rsidRPr="00ED00A7">
              <w:rPr>
                <w:sz w:val="18"/>
                <w:szCs w:val="18"/>
              </w:rPr>
              <w:t>A.28.1(6)1</w:t>
            </w:r>
            <w:r w:rsidRPr="000E4F14">
              <w:rPr>
                <w:sz w:val="18"/>
                <w:szCs w:val="18"/>
              </w:rPr>
              <w:t xml:space="preserve"> scharakteryzować parametry realizacji usług transportowych;</w:t>
            </w: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  <w:r w:rsidRPr="004D2EB4">
              <w:rPr>
                <w:sz w:val="18"/>
                <w:szCs w:val="18"/>
              </w:rPr>
              <w:t xml:space="preserve">Dopisano: A.28.1(6)2 wykonać </w:t>
            </w:r>
            <w:r w:rsidRPr="004D2EB4">
              <w:rPr>
                <w:rFonts w:cs="ArialMT"/>
                <w:sz w:val="18"/>
                <w:szCs w:val="18"/>
              </w:rPr>
              <w:t>prezentację multimedialną dotyczącą usług transportowych</w:t>
            </w: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Pr="0017597D" w:rsidRDefault="00560580" w:rsidP="003219C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0E4F14" w:rsidRDefault="00560580" w:rsidP="003219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E4F14">
              <w:rPr>
                <w:rFonts w:cs="Arial"/>
                <w:sz w:val="18"/>
                <w:szCs w:val="18"/>
              </w:rPr>
              <w:t xml:space="preserve">Dominującą metodą </w:t>
            </w:r>
            <w:r w:rsidRPr="000E4F14">
              <w:rPr>
                <w:sz w:val="18"/>
                <w:szCs w:val="18"/>
              </w:rPr>
              <w:t xml:space="preserve">powinny być </w:t>
            </w:r>
            <w:r w:rsidRPr="000E4F14">
              <w:rPr>
                <w:rFonts w:cs="Arial"/>
                <w:sz w:val="18"/>
                <w:szCs w:val="18"/>
              </w:rPr>
              <w:t xml:space="preserve">aktywizujące metody kształcenia, ze szczególnym uwzględnieniem metody ćwiczeń praktycznych, tekstu przewodniego i projektów z wykorzystaniem komputerów. Uczniowie </w:t>
            </w:r>
            <w:r w:rsidRPr="000E4F14">
              <w:rPr>
                <w:sz w:val="18"/>
                <w:szCs w:val="18"/>
              </w:rPr>
              <w:t xml:space="preserve">powinni </w:t>
            </w:r>
            <w:r w:rsidRPr="000E4F14">
              <w:rPr>
                <w:rFonts w:cs="Arial"/>
                <w:sz w:val="18"/>
                <w:szCs w:val="18"/>
              </w:rPr>
              <w:t xml:space="preserve">otrzymywać zróżnicowane pomoce dydaktyczne </w:t>
            </w:r>
            <w:r w:rsidRPr="000E4F14">
              <w:rPr>
                <w:sz w:val="18"/>
                <w:szCs w:val="18"/>
              </w:rPr>
              <w:t>ułatwiające wykonywanie ćwiczeń rozwijających</w:t>
            </w:r>
            <w:r w:rsidRPr="000E4F14">
              <w:rPr>
                <w:rFonts w:cs="Arial"/>
                <w:sz w:val="18"/>
                <w:szCs w:val="18"/>
              </w:rPr>
              <w:t xml:space="preserve"> umiejętności sporządzenia planu realizacji usługi transportowej. Ćwiczenia </w:t>
            </w:r>
            <w:r w:rsidRPr="000E4F14">
              <w:rPr>
                <w:sz w:val="18"/>
                <w:szCs w:val="18"/>
              </w:rPr>
              <w:t xml:space="preserve">należy poprzedzić </w:t>
            </w:r>
            <w:r w:rsidRPr="000E4F14">
              <w:rPr>
                <w:rFonts w:cs="Arial"/>
                <w:sz w:val="18"/>
                <w:szCs w:val="18"/>
              </w:rPr>
              <w:t>zastosowaniem na wstępie podających metod nauczania, tj. mini wykładu, pogadanki.</w:t>
            </w:r>
          </w:p>
          <w:p w:rsidR="00560580" w:rsidRPr="000E4F14" w:rsidRDefault="00560580" w:rsidP="003219CB">
            <w:pPr>
              <w:rPr>
                <w:sz w:val="18"/>
                <w:szCs w:val="18"/>
              </w:rPr>
            </w:pPr>
          </w:p>
          <w:p w:rsidR="00560580" w:rsidRPr="00741893" w:rsidRDefault="00560580" w:rsidP="003219CB">
            <w:pPr>
              <w:rPr>
                <w:sz w:val="18"/>
                <w:szCs w:val="18"/>
              </w:rPr>
            </w:pPr>
          </w:p>
          <w:p w:rsidR="00560580" w:rsidRPr="00ED00A7" w:rsidRDefault="00560580" w:rsidP="003219CB">
            <w:pPr>
              <w:rPr>
                <w:sz w:val="18"/>
                <w:szCs w:val="18"/>
              </w:rPr>
            </w:pPr>
          </w:p>
          <w:p w:rsidR="00560580" w:rsidRPr="000E4F14" w:rsidRDefault="00560580" w:rsidP="003219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0580" w:rsidRPr="000E4F14" w:rsidRDefault="00560580" w:rsidP="003219CB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0580" w:rsidRPr="004D2EB4" w:rsidRDefault="00560580" w:rsidP="003219CB">
            <w:pPr>
              <w:rPr>
                <w:rFonts w:eastAsia="Arial Unicode MS"/>
                <w:sz w:val="18"/>
                <w:szCs w:val="18"/>
              </w:rPr>
            </w:pPr>
            <w:r w:rsidRPr="000E4F14">
              <w:rPr>
                <w:rFonts w:cs="Arial"/>
                <w:sz w:val="18"/>
                <w:szCs w:val="18"/>
              </w:rPr>
              <w:t xml:space="preserve">Dominującą metodą </w:t>
            </w:r>
            <w:r w:rsidRPr="000E4F14">
              <w:rPr>
                <w:sz w:val="18"/>
                <w:szCs w:val="18"/>
              </w:rPr>
              <w:t xml:space="preserve">powinny być </w:t>
            </w:r>
            <w:r w:rsidRPr="000E4F14">
              <w:rPr>
                <w:rFonts w:cs="Arial"/>
                <w:sz w:val="18"/>
                <w:szCs w:val="18"/>
              </w:rPr>
              <w:t xml:space="preserve">aktywizujące metody kształcenia, ze szczególnym uwzględnieniem metody ćwiczeń praktycznych, tekstu przewodniego i projektów z wykorzystaniem komputerów. Uczniowie </w:t>
            </w:r>
            <w:r w:rsidRPr="000E4F14">
              <w:rPr>
                <w:sz w:val="18"/>
                <w:szCs w:val="18"/>
              </w:rPr>
              <w:t xml:space="preserve">powinni </w:t>
            </w:r>
            <w:r w:rsidRPr="000E4F14">
              <w:rPr>
                <w:rFonts w:cs="Arial"/>
                <w:sz w:val="18"/>
                <w:szCs w:val="18"/>
              </w:rPr>
              <w:t xml:space="preserve">otrzymywać zróżnicowane pomoce dydaktyczne </w:t>
            </w:r>
            <w:r w:rsidRPr="000E4F14">
              <w:rPr>
                <w:sz w:val="18"/>
                <w:szCs w:val="18"/>
              </w:rPr>
              <w:t>ułatwiające wykonywanie ćwiczeń rozwijających</w:t>
            </w:r>
            <w:r w:rsidRPr="000E4F14">
              <w:rPr>
                <w:rFonts w:cs="Arial"/>
                <w:sz w:val="18"/>
                <w:szCs w:val="18"/>
              </w:rPr>
              <w:t xml:space="preserve"> umiejętności sporządzenia planu realizacji usługi transportowe</w:t>
            </w:r>
            <w:r>
              <w:rPr>
                <w:rFonts w:cs="Arial"/>
                <w:sz w:val="18"/>
                <w:szCs w:val="18"/>
              </w:rPr>
              <w:t xml:space="preserve">, dostępu do </w:t>
            </w:r>
            <w:r>
              <w:rPr>
                <w:sz w:val="18"/>
                <w:szCs w:val="18"/>
              </w:rPr>
              <w:t>map Internetowych i programów spedycyjnych</w:t>
            </w:r>
            <w:r>
              <w:rPr>
                <w:rFonts w:eastAsia="Arial Unicode MS"/>
                <w:sz w:val="18"/>
                <w:szCs w:val="18"/>
              </w:rPr>
              <w:t xml:space="preserve">. </w:t>
            </w:r>
            <w:r w:rsidRPr="000E4F14">
              <w:rPr>
                <w:rFonts w:cs="Arial"/>
                <w:sz w:val="18"/>
                <w:szCs w:val="18"/>
              </w:rPr>
              <w:t xml:space="preserve">Ćwiczenia </w:t>
            </w:r>
            <w:r w:rsidRPr="000E4F14">
              <w:rPr>
                <w:sz w:val="18"/>
                <w:szCs w:val="18"/>
              </w:rPr>
              <w:t xml:space="preserve">należy poprzedzić </w:t>
            </w:r>
            <w:r w:rsidRPr="000E4F14">
              <w:rPr>
                <w:rFonts w:cs="Arial"/>
                <w:sz w:val="18"/>
                <w:szCs w:val="18"/>
              </w:rPr>
              <w:t>zastosowaniem na wstępie podających metod nauczan</w:t>
            </w:r>
            <w:r>
              <w:rPr>
                <w:rFonts w:cs="Arial"/>
                <w:sz w:val="18"/>
                <w:szCs w:val="18"/>
              </w:rPr>
              <w:t>ia, tj. mini wykładu, pogadanki oraz prezentacji komputerowych.</w:t>
            </w:r>
          </w:p>
          <w:p w:rsidR="00560580" w:rsidRPr="000E4F14" w:rsidRDefault="00560580" w:rsidP="003219CB">
            <w:pPr>
              <w:rPr>
                <w:sz w:val="18"/>
                <w:szCs w:val="18"/>
              </w:rPr>
            </w:pPr>
          </w:p>
          <w:p w:rsidR="00560580" w:rsidRPr="00741893" w:rsidRDefault="00560580" w:rsidP="003219CB">
            <w:pPr>
              <w:rPr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560580" w:rsidRDefault="00560580" w:rsidP="00560580">
      <w:pPr>
        <w:pStyle w:val="Nagwek2"/>
        <w:rPr>
          <w:sz w:val="22"/>
          <w:szCs w:val="22"/>
        </w:rPr>
      </w:pPr>
    </w:p>
    <w:p w:rsidR="00560580" w:rsidRDefault="00560580" w:rsidP="00560580">
      <w:pPr>
        <w:pStyle w:val="Nagwek2"/>
        <w:rPr>
          <w:sz w:val="22"/>
          <w:szCs w:val="22"/>
        </w:rPr>
      </w:pPr>
    </w:p>
    <w:p w:rsidR="00267DDF" w:rsidRDefault="00267DDF" w:rsidP="00560580">
      <w:pPr>
        <w:pStyle w:val="Nagwek2"/>
        <w:rPr>
          <w:sz w:val="22"/>
          <w:szCs w:val="22"/>
        </w:rPr>
      </w:pPr>
    </w:p>
    <w:p w:rsidR="00267DDF" w:rsidRDefault="00267DDF" w:rsidP="00560580">
      <w:pPr>
        <w:pStyle w:val="Nagwek2"/>
        <w:rPr>
          <w:sz w:val="22"/>
          <w:szCs w:val="22"/>
        </w:rPr>
      </w:pPr>
    </w:p>
    <w:p w:rsidR="00267DDF" w:rsidRDefault="00267DDF" w:rsidP="00560580">
      <w:pPr>
        <w:pStyle w:val="Nagwek2"/>
        <w:rPr>
          <w:sz w:val="22"/>
          <w:szCs w:val="22"/>
        </w:rPr>
      </w:pPr>
    </w:p>
    <w:p w:rsidR="00560580" w:rsidRPr="004D2EB4" w:rsidRDefault="00560580" w:rsidP="00560580">
      <w:pPr>
        <w:pStyle w:val="Nagwek2"/>
        <w:rPr>
          <w:sz w:val="22"/>
          <w:szCs w:val="22"/>
        </w:rPr>
      </w:pPr>
      <w:r>
        <w:rPr>
          <w:sz w:val="22"/>
          <w:szCs w:val="22"/>
        </w:rPr>
        <w:t>Przedmiot: Obsługa działalności spedycyjnej</w:t>
      </w:r>
    </w:p>
    <w:tbl>
      <w:tblPr>
        <w:tblW w:w="131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18"/>
        <w:gridCol w:w="4252"/>
        <w:gridCol w:w="2666"/>
        <w:gridCol w:w="2419"/>
      </w:tblGrid>
      <w:tr w:rsidR="00560580" w:rsidRPr="004D2EB4" w:rsidTr="00F97EA2">
        <w:trPr>
          <w:trHeight w:val="664"/>
          <w:jc w:val="center"/>
        </w:trPr>
        <w:tc>
          <w:tcPr>
            <w:tcW w:w="13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Default="00560580" w:rsidP="00F97EA2">
            <w:r w:rsidRPr="00E0413D">
              <w:rPr>
                <w:bCs/>
              </w:rPr>
              <w:t xml:space="preserve">7.1. </w:t>
            </w:r>
            <w:r w:rsidRPr="00E0413D">
              <w:t>Oferty usług spedycyjnych</w:t>
            </w:r>
          </w:p>
          <w:p w:rsidR="00560580" w:rsidRPr="00E0413D" w:rsidRDefault="00560580" w:rsidP="00F97EA2">
            <w:r w:rsidRPr="00E0413D">
              <w:rPr>
                <w:lang w:eastAsia="pl-PL"/>
              </w:rPr>
              <w:t>7.2 Obsługa klienta w działalności spedycyjnej</w:t>
            </w:r>
          </w:p>
        </w:tc>
      </w:tr>
      <w:tr w:rsidR="00560580" w:rsidRPr="00B0423D" w:rsidTr="00F97EA2">
        <w:trPr>
          <w:trHeight w:val="664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Wybrane u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szczegółowione efekty kształcenia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Uczeń po zrealizowaniu zajęć potrafi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Metody </w:t>
            </w:r>
          </w:p>
        </w:tc>
      </w:tr>
      <w:tr w:rsidR="00560580" w:rsidRPr="00B0423D" w:rsidTr="00F97EA2">
        <w:trPr>
          <w:trHeight w:val="913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</w:tr>
      <w:tr w:rsidR="00560580" w:rsidRPr="00B0423D" w:rsidTr="003219CB">
        <w:trPr>
          <w:trHeight w:val="6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B86" w:rsidRDefault="00F06B86" w:rsidP="003219CB">
            <w:pPr>
              <w:rPr>
                <w:sz w:val="18"/>
                <w:szCs w:val="18"/>
              </w:rPr>
            </w:pPr>
          </w:p>
          <w:p w:rsidR="00F06B86" w:rsidRDefault="00F06B86" w:rsidP="003219CB">
            <w:pPr>
              <w:rPr>
                <w:sz w:val="18"/>
                <w:szCs w:val="18"/>
              </w:rPr>
            </w:pPr>
          </w:p>
          <w:p w:rsidR="00F06B86" w:rsidRDefault="00F06B86" w:rsidP="003219CB">
            <w:pPr>
              <w:rPr>
                <w:sz w:val="18"/>
                <w:szCs w:val="18"/>
              </w:rPr>
            </w:pPr>
          </w:p>
          <w:p w:rsidR="00560580" w:rsidRDefault="00560580" w:rsidP="003219CB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A.29.1(2)1 sporządzić ofertę na wykonanie usługi z zastosowaniem zwrotów i</w:t>
            </w:r>
            <w:r w:rsidR="00F06B86">
              <w:rPr>
                <w:sz w:val="18"/>
                <w:szCs w:val="18"/>
              </w:rPr>
              <w:t>nfra</w:t>
            </w:r>
            <w:r w:rsidRPr="00ED00A7">
              <w:rPr>
                <w:sz w:val="18"/>
                <w:szCs w:val="18"/>
              </w:rPr>
              <w:t>struktury właściwych dla zawodu;</w:t>
            </w:r>
          </w:p>
          <w:p w:rsidR="00560580" w:rsidRDefault="00560580" w:rsidP="003219CB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A.29.1(2)2 dokonać analizy możliwości wykonania usługi spedycyjnej ze względu na zasoby przedsiębiorstwa;</w:t>
            </w:r>
          </w:p>
          <w:p w:rsidR="00560580" w:rsidRDefault="00560580" w:rsidP="003219CB">
            <w:pPr>
              <w:rPr>
                <w:sz w:val="18"/>
                <w:szCs w:val="18"/>
              </w:rPr>
            </w:pPr>
          </w:p>
          <w:p w:rsidR="00560580" w:rsidRDefault="00560580" w:rsidP="003219CB">
            <w:pPr>
              <w:rPr>
                <w:sz w:val="18"/>
                <w:szCs w:val="18"/>
              </w:rPr>
            </w:pPr>
          </w:p>
          <w:p w:rsidR="00560580" w:rsidRPr="00531921" w:rsidRDefault="00560580" w:rsidP="003219CB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A.29.1(2)1 sporządzić ofertę na wykonanie usługi z zastosowaniem zwrotów i</w:t>
            </w:r>
            <w:r w:rsidR="00F06B86">
              <w:rPr>
                <w:sz w:val="18"/>
                <w:szCs w:val="18"/>
              </w:rPr>
              <w:t>nfra</w:t>
            </w:r>
            <w:r w:rsidRPr="00ED00A7">
              <w:rPr>
                <w:sz w:val="18"/>
                <w:szCs w:val="18"/>
              </w:rPr>
              <w:t>struktury właściwych dla zawodu;</w:t>
            </w: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A.29.1(2)2 dokonać analizy możliwości wykonania usługi spedycyjnej ze względu na zasoby przedsiębiorstwa;</w:t>
            </w: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  <w:r w:rsidRPr="00E0413D">
              <w:rPr>
                <w:sz w:val="18"/>
                <w:szCs w:val="18"/>
              </w:rPr>
              <w:t xml:space="preserve">A.29.1(3)7 sporządzić ulotki reklamowe,  oferty handlowe dla wybranych </w:t>
            </w:r>
            <w:r>
              <w:rPr>
                <w:sz w:val="18"/>
                <w:szCs w:val="18"/>
              </w:rPr>
              <w:t xml:space="preserve">lokalnych </w:t>
            </w:r>
            <w:r w:rsidRPr="00E0413D">
              <w:rPr>
                <w:sz w:val="18"/>
                <w:szCs w:val="18"/>
              </w:rPr>
              <w:t>przedsiębiorstw TSL</w:t>
            </w: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3219CB">
            <w:pPr>
              <w:rPr>
                <w:rFonts w:eastAsia="Arial Unicode MS"/>
                <w:sz w:val="18"/>
                <w:szCs w:val="18"/>
              </w:rPr>
            </w:pPr>
          </w:p>
          <w:p w:rsidR="00560580" w:rsidRPr="0017597D" w:rsidRDefault="00560580" w:rsidP="003219C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0E4F14" w:rsidRDefault="00560580" w:rsidP="003219CB">
            <w:pPr>
              <w:rPr>
                <w:b/>
                <w:sz w:val="18"/>
                <w:szCs w:val="18"/>
              </w:rPr>
            </w:pPr>
            <w:r w:rsidRPr="000E4F14">
              <w:rPr>
                <w:rFonts w:cs="Arial"/>
                <w:sz w:val="18"/>
                <w:szCs w:val="18"/>
              </w:rPr>
              <w:t xml:space="preserve">Dominującą metodą </w:t>
            </w:r>
            <w:r w:rsidRPr="000E4F14">
              <w:rPr>
                <w:sz w:val="18"/>
                <w:szCs w:val="18"/>
              </w:rPr>
              <w:t xml:space="preserve">powinny być </w:t>
            </w:r>
            <w:r w:rsidRPr="000E4F14">
              <w:rPr>
                <w:rFonts w:cs="Arial"/>
                <w:sz w:val="18"/>
                <w:szCs w:val="18"/>
              </w:rPr>
              <w:t>aktywizujące metody kształcenia, ze szczególnym uwzględnieniem metody ćwiczeń, metody projektów oraz ćwiczeń praktycznych z zastosowaniem komputerów. Uczniowie</w:t>
            </w:r>
            <w:r w:rsidR="00F06B86">
              <w:rPr>
                <w:rFonts w:cs="Arial"/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 xml:space="preserve">powinni </w:t>
            </w:r>
            <w:r w:rsidRPr="000E4F14">
              <w:rPr>
                <w:rFonts w:cs="Arial"/>
                <w:sz w:val="18"/>
                <w:szCs w:val="18"/>
              </w:rPr>
              <w:t xml:space="preserve">otrzymywać zróżnicowane pomoce dydaktyczne </w:t>
            </w:r>
            <w:r w:rsidRPr="000E4F14">
              <w:rPr>
                <w:sz w:val="18"/>
                <w:szCs w:val="18"/>
              </w:rPr>
              <w:t>ułatwiające wykonywanie ćwiczeń rozwijających</w:t>
            </w:r>
            <w:r w:rsidRPr="000E4F14">
              <w:rPr>
                <w:rFonts w:cs="Arial"/>
                <w:sz w:val="18"/>
                <w:szCs w:val="18"/>
              </w:rPr>
              <w:t xml:space="preserve"> do ćwiczenia umiejętności opracowania planu działania przy rozrachunkowej obsłudze działalności spedycyjnej. Ćwiczenia </w:t>
            </w:r>
            <w:r w:rsidRPr="000E4F14">
              <w:rPr>
                <w:sz w:val="18"/>
                <w:szCs w:val="18"/>
              </w:rPr>
              <w:t xml:space="preserve">należy poprzedzić </w:t>
            </w:r>
            <w:r w:rsidRPr="000E4F14">
              <w:rPr>
                <w:rFonts w:cs="Arial"/>
                <w:sz w:val="18"/>
                <w:szCs w:val="18"/>
              </w:rPr>
              <w:t>zastosowaniem na wstępie podających metod nauczania, tj. mini wykładu, pogadanki.</w:t>
            </w:r>
          </w:p>
          <w:p w:rsidR="00560580" w:rsidRPr="000E4F14" w:rsidRDefault="00560580" w:rsidP="003219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60580" w:rsidRPr="000E4F14" w:rsidRDefault="00560580" w:rsidP="003219CB">
            <w:pPr>
              <w:rPr>
                <w:sz w:val="18"/>
                <w:szCs w:val="18"/>
              </w:rPr>
            </w:pPr>
          </w:p>
          <w:p w:rsidR="00560580" w:rsidRPr="00741893" w:rsidRDefault="00560580" w:rsidP="003219CB">
            <w:pPr>
              <w:rPr>
                <w:sz w:val="18"/>
                <w:szCs w:val="18"/>
              </w:rPr>
            </w:pPr>
          </w:p>
          <w:p w:rsidR="00560580" w:rsidRPr="00ED00A7" w:rsidRDefault="00560580" w:rsidP="003219CB">
            <w:pPr>
              <w:rPr>
                <w:sz w:val="18"/>
                <w:szCs w:val="18"/>
              </w:rPr>
            </w:pPr>
          </w:p>
          <w:p w:rsidR="00560580" w:rsidRPr="000E4F14" w:rsidRDefault="00560580" w:rsidP="003219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0580" w:rsidRPr="000E4F14" w:rsidRDefault="00560580" w:rsidP="003219CB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0580" w:rsidRPr="000E4F14" w:rsidRDefault="00560580" w:rsidP="003219CB">
            <w:pPr>
              <w:rPr>
                <w:b/>
                <w:sz w:val="18"/>
                <w:szCs w:val="18"/>
              </w:rPr>
            </w:pPr>
            <w:r w:rsidRPr="000E4F14">
              <w:rPr>
                <w:rFonts w:cs="Arial"/>
                <w:sz w:val="18"/>
                <w:szCs w:val="18"/>
              </w:rPr>
              <w:t xml:space="preserve">Dominującą metodą </w:t>
            </w:r>
            <w:r w:rsidRPr="000E4F14">
              <w:rPr>
                <w:sz w:val="18"/>
                <w:szCs w:val="18"/>
              </w:rPr>
              <w:t xml:space="preserve">powinny być </w:t>
            </w:r>
            <w:r w:rsidRPr="000E4F14">
              <w:rPr>
                <w:rFonts w:cs="Arial"/>
                <w:sz w:val="18"/>
                <w:szCs w:val="18"/>
              </w:rPr>
              <w:t>aktywizujące metody kształcenia, ze szczególnym uwzględnieniem metody ćwiczeń, metody projektów oraz ćwiczeń praktycznych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034E04">
              <w:rPr>
                <w:sz w:val="18"/>
                <w:szCs w:val="18"/>
              </w:rPr>
              <w:t>zapytania i zlecenia ofertowe dostosowane do warunków rynku lokalnego i wymiany z Rosją</w:t>
            </w:r>
            <w:r>
              <w:rPr>
                <w:sz w:val="18"/>
                <w:szCs w:val="18"/>
              </w:rPr>
              <w:t>)</w:t>
            </w:r>
            <w:r w:rsidRPr="000E4F14">
              <w:rPr>
                <w:rFonts w:cs="Arial"/>
                <w:sz w:val="18"/>
                <w:szCs w:val="18"/>
              </w:rPr>
              <w:t>z zastosowaniem komputerów. Uczniowie</w:t>
            </w:r>
            <w:r w:rsidR="00F06B86">
              <w:rPr>
                <w:rFonts w:cs="Arial"/>
                <w:sz w:val="18"/>
                <w:szCs w:val="18"/>
              </w:rPr>
              <w:t xml:space="preserve"> </w:t>
            </w:r>
            <w:r w:rsidRPr="00ED00A7">
              <w:rPr>
                <w:sz w:val="18"/>
                <w:szCs w:val="18"/>
              </w:rPr>
              <w:t xml:space="preserve">powinni </w:t>
            </w:r>
            <w:r w:rsidRPr="000E4F14">
              <w:rPr>
                <w:rFonts w:cs="Arial"/>
                <w:sz w:val="18"/>
                <w:szCs w:val="18"/>
              </w:rPr>
              <w:t xml:space="preserve">otrzymywać zróżnicowane pomoce dydaktyczne </w:t>
            </w:r>
            <w:r w:rsidRPr="000E4F14">
              <w:rPr>
                <w:sz w:val="18"/>
                <w:szCs w:val="18"/>
              </w:rPr>
              <w:t>ułatwiające wykonywanie ćwiczeń rozwijających</w:t>
            </w:r>
            <w:r w:rsidRPr="000E4F14">
              <w:rPr>
                <w:rFonts w:cs="Arial"/>
                <w:sz w:val="18"/>
                <w:szCs w:val="18"/>
              </w:rPr>
              <w:t xml:space="preserve"> do ćwiczenia umiejętności opracowania planu działania przy rozrachunkowej obsłudze działalności spedycyjnej. Ćwiczenia </w:t>
            </w:r>
            <w:r w:rsidRPr="000E4F14">
              <w:rPr>
                <w:sz w:val="18"/>
                <w:szCs w:val="18"/>
              </w:rPr>
              <w:t xml:space="preserve">należy poprzedzić </w:t>
            </w:r>
            <w:r w:rsidRPr="000E4F14">
              <w:rPr>
                <w:rFonts w:cs="Arial"/>
                <w:sz w:val="18"/>
                <w:szCs w:val="18"/>
              </w:rPr>
              <w:t>zastosowaniem na wstępie podających metod nauczania, tj. mini wykładu, pogadanki.</w:t>
            </w:r>
          </w:p>
          <w:p w:rsidR="00560580" w:rsidRPr="000E4F14" w:rsidRDefault="00560580" w:rsidP="003219CB">
            <w:pPr>
              <w:rPr>
                <w:sz w:val="18"/>
                <w:szCs w:val="18"/>
              </w:rPr>
            </w:pPr>
          </w:p>
          <w:p w:rsidR="00560580" w:rsidRPr="00741893" w:rsidRDefault="00560580" w:rsidP="003219CB">
            <w:pPr>
              <w:rPr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color w:val="000000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sz w:val="18"/>
                <w:szCs w:val="18"/>
              </w:rPr>
            </w:pPr>
          </w:p>
          <w:p w:rsidR="00560580" w:rsidRPr="00B0423D" w:rsidRDefault="00560580" w:rsidP="003219CB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p w:rsidR="00560580" w:rsidRDefault="00560580" w:rsidP="00560580">
      <w:pPr>
        <w:pStyle w:val="Akapitzlist"/>
      </w:pPr>
    </w:p>
    <w:tbl>
      <w:tblPr>
        <w:tblW w:w="13907" w:type="dxa"/>
        <w:jc w:val="center"/>
        <w:tblInd w:w="-56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82"/>
        <w:gridCol w:w="4252"/>
        <w:gridCol w:w="2666"/>
        <w:gridCol w:w="2607"/>
      </w:tblGrid>
      <w:tr w:rsidR="00560580" w:rsidRPr="00E0413D" w:rsidTr="003219CB">
        <w:trPr>
          <w:trHeight w:val="664"/>
          <w:jc w:val="center"/>
        </w:trPr>
        <w:tc>
          <w:tcPr>
            <w:tcW w:w="139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E0413D" w:rsidRDefault="00560580" w:rsidP="00F97EA2">
            <w:r w:rsidRPr="00E0413D">
              <w:rPr>
                <w:lang w:eastAsia="pl-PL"/>
              </w:rPr>
              <w:t>7.2 Obsługa klienta w działalności spedycyjnej</w:t>
            </w:r>
          </w:p>
        </w:tc>
      </w:tr>
      <w:tr w:rsidR="00560580" w:rsidRPr="00B0423D" w:rsidTr="003219CB">
        <w:trPr>
          <w:trHeight w:val="664"/>
          <w:jc w:val="center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Wybrane u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szczegółowione efekty kształcenia</w:t>
            </w: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Uczeń po zrealizowaniu zajęć potrafi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Metody </w:t>
            </w:r>
          </w:p>
        </w:tc>
      </w:tr>
      <w:tr w:rsidR="00560580" w:rsidRPr="00B0423D" w:rsidTr="003219CB">
        <w:trPr>
          <w:trHeight w:val="913"/>
          <w:jc w:val="center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Przed modernizacją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60580" w:rsidRPr="00B0423D" w:rsidRDefault="00560580" w:rsidP="00F97E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23D">
              <w:rPr>
                <w:rFonts w:cs="Calibri"/>
                <w:b/>
                <w:bCs/>
                <w:color w:val="000000"/>
                <w:sz w:val="18"/>
                <w:szCs w:val="18"/>
              </w:rPr>
              <w:t>Po modernizacji</w:t>
            </w:r>
          </w:p>
        </w:tc>
      </w:tr>
      <w:tr w:rsidR="00560580" w:rsidRPr="00B0423D" w:rsidTr="003219CB">
        <w:trPr>
          <w:trHeight w:val="64"/>
          <w:jc w:val="center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9CB" w:rsidRDefault="003219CB" w:rsidP="00F97EA2">
            <w:pPr>
              <w:rPr>
                <w:sz w:val="18"/>
                <w:szCs w:val="18"/>
              </w:rPr>
            </w:pPr>
          </w:p>
          <w:p w:rsidR="00560580" w:rsidRDefault="00560580" w:rsidP="00F97EA2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A.29.2(1)1 scharakteryzować przepisy prawa dotyczące dokumentacji rozliczeniowej;</w:t>
            </w:r>
          </w:p>
          <w:p w:rsidR="00560580" w:rsidRDefault="00560580" w:rsidP="00F97EA2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A.29.2(1)2 sporządzać dokumentację rozliczeniową;</w:t>
            </w:r>
          </w:p>
          <w:p w:rsidR="00560580" w:rsidRDefault="00560580" w:rsidP="00F97EA2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A.29.2(1)3 ocenić zgodność prowadzonej dokumentacji rozliczeniowej z</w:t>
            </w:r>
            <w:r w:rsidRPr="00A34642">
              <w:rPr>
                <w:sz w:val="18"/>
                <w:szCs w:val="18"/>
              </w:rPr>
              <w:t xml:space="preserve"> obowiązującymi przepisami</w:t>
            </w:r>
            <w:r>
              <w:rPr>
                <w:sz w:val="18"/>
                <w:szCs w:val="18"/>
              </w:rPr>
              <w:t>;</w:t>
            </w:r>
          </w:p>
          <w:p w:rsidR="00560580" w:rsidRPr="00531921" w:rsidRDefault="00560580" w:rsidP="00F97EA2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80" w:rsidRDefault="00560580" w:rsidP="00F97EA2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A.29.2(1)1 scharakteryzować przepisy prawa dotyczące dokumentacji rozliczeniowej;</w:t>
            </w:r>
          </w:p>
          <w:p w:rsidR="00560580" w:rsidRDefault="00560580" w:rsidP="00F97EA2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A.29.2(1)2 sporządzać dokumentację rozliczeniową;</w:t>
            </w:r>
          </w:p>
          <w:p w:rsidR="00560580" w:rsidRDefault="00560580" w:rsidP="00F97EA2">
            <w:pPr>
              <w:rPr>
                <w:sz w:val="18"/>
                <w:szCs w:val="18"/>
              </w:rPr>
            </w:pPr>
            <w:r w:rsidRPr="000E4F14">
              <w:rPr>
                <w:sz w:val="18"/>
                <w:szCs w:val="18"/>
              </w:rPr>
              <w:t>A.29.2(1)3 ocenić zgodność prowadzonej dokumentacji rozliczeniowej z</w:t>
            </w:r>
            <w:r w:rsidRPr="00A34642">
              <w:rPr>
                <w:sz w:val="18"/>
                <w:szCs w:val="18"/>
              </w:rPr>
              <w:t xml:space="preserve"> obowiązującymi przepisami</w:t>
            </w:r>
            <w:r>
              <w:rPr>
                <w:sz w:val="18"/>
                <w:szCs w:val="18"/>
              </w:rPr>
              <w:t>;</w:t>
            </w:r>
          </w:p>
          <w:p w:rsidR="00560580" w:rsidRPr="00034E04" w:rsidRDefault="00560580" w:rsidP="00F97EA2">
            <w:pPr>
              <w:rPr>
                <w:sz w:val="18"/>
                <w:szCs w:val="18"/>
              </w:rPr>
            </w:pPr>
            <w:r w:rsidRPr="00034E04">
              <w:rPr>
                <w:sz w:val="18"/>
                <w:szCs w:val="18"/>
              </w:rPr>
              <w:t xml:space="preserve">Dodano: A.29.2(1)4 sporządzić dokumentację </w:t>
            </w:r>
            <w:r>
              <w:rPr>
                <w:sz w:val="18"/>
                <w:szCs w:val="18"/>
              </w:rPr>
              <w:t>związanych z usługami T</w:t>
            </w:r>
            <w:r w:rsidRPr="00034E0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L </w:t>
            </w:r>
            <w:r w:rsidRPr="00034E04">
              <w:rPr>
                <w:sz w:val="18"/>
                <w:szCs w:val="18"/>
              </w:rPr>
              <w:t xml:space="preserve"> w wymianie międzynarodowej  UE(Polska)- Rosja - faktura, akredytywa, umowy, zlecenia spedycyjne</w:t>
            </w:r>
          </w:p>
          <w:p w:rsidR="00560580" w:rsidRPr="00034E04" w:rsidRDefault="00560580" w:rsidP="00F97EA2">
            <w:pPr>
              <w:rPr>
                <w:rFonts w:eastAsia="Arial Unicode MS"/>
                <w:sz w:val="18"/>
                <w:szCs w:val="18"/>
              </w:rPr>
            </w:pPr>
            <w:r w:rsidRPr="00034E04">
              <w:rPr>
                <w:sz w:val="18"/>
                <w:szCs w:val="18"/>
              </w:rPr>
              <w:t>A.29.2(1)5 sporządzić reklamację w przewozie  T-S w wymianie  krajowej międzynarodowej  UE(Polska)- Rosja , uwzględnienie przepisów regulujących składanie reklamacji w Rosji</w:t>
            </w:r>
          </w:p>
          <w:p w:rsidR="00560580" w:rsidRDefault="00560580" w:rsidP="00F97EA2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F97EA2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F97EA2">
            <w:pPr>
              <w:rPr>
                <w:rFonts w:eastAsia="Arial Unicode MS"/>
                <w:sz w:val="18"/>
                <w:szCs w:val="18"/>
              </w:rPr>
            </w:pPr>
          </w:p>
          <w:p w:rsidR="00560580" w:rsidRDefault="00560580" w:rsidP="00F97EA2">
            <w:pPr>
              <w:rPr>
                <w:rFonts w:eastAsia="Arial Unicode MS"/>
                <w:sz w:val="18"/>
                <w:szCs w:val="18"/>
              </w:rPr>
            </w:pPr>
          </w:p>
          <w:p w:rsidR="00560580" w:rsidRPr="0017597D" w:rsidRDefault="00560580" w:rsidP="00F97E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580" w:rsidRPr="000E4F14" w:rsidRDefault="00560580" w:rsidP="00F06B86">
            <w:pPr>
              <w:rPr>
                <w:b/>
                <w:sz w:val="18"/>
                <w:szCs w:val="18"/>
              </w:rPr>
            </w:pPr>
            <w:r w:rsidRPr="000E4F14">
              <w:rPr>
                <w:rFonts w:cs="Arial"/>
                <w:sz w:val="18"/>
                <w:szCs w:val="18"/>
              </w:rPr>
              <w:t xml:space="preserve">Dominującą metodą </w:t>
            </w:r>
            <w:r w:rsidRPr="000E4F14">
              <w:rPr>
                <w:sz w:val="18"/>
                <w:szCs w:val="18"/>
              </w:rPr>
              <w:t xml:space="preserve">powinny być </w:t>
            </w:r>
            <w:r w:rsidRPr="000E4F14">
              <w:rPr>
                <w:rFonts w:cs="Arial"/>
                <w:sz w:val="18"/>
                <w:szCs w:val="18"/>
              </w:rPr>
              <w:t xml:space="preserve">aktywizujące metody kształcenia, ze szczególnym uwzględnieniem metody ćwiczeń, metody projektów oraz ćwiczeń praktycznych z zastosowaniem komputerów. Uczniowie </w:t>
            </w:r>
            <w:r w:rsidRPr="000E4F14">
              <w:rPr>
                <w:sz w:val="18"/>
                <w:szCs w:val="18"/>
              </w:rPr>
              <w:t xml:space="preserve">powinni </w:t>
            </w:r>
            <w:r w:rsidRPr="000E4F14">
              <w:rPr>
                <w:rFonts w:cs="Arial"/>
                <w:sz w:val="18"/>
                <w:szCs w:val="18"/>
              </w:rPr>
              <w:t xml:space="preserve">otrzymywać zróżnicowane pomoce dydaktyczne </w:t>
            </w:r>
            <w:r w:rsidRPr="000E4F14">
              <w:rPr>
                <w:sz w:val="18"/>
                <w:szCs w:val="18"/>
              </w:rPr>
              <w:t>ułatwiające wykonywanie ćwiczeń rozwijających</w:t>
            </w:r>
            <w:r w:rsidRPr="000E4F14">
              <w:rPr>
                <w:rFonts w:cs="Arial"/>
                <w:sz w:val="18"/>
                <w:szCs w:val="18"/>
              </w:rPr>
              <w:t xml:space="preserve"> umiejętności </w:t>
            </w:r>
            <w:r w:rsidRPr="000E4F14">
              <w:rPr>
                <w:bCs/>
                <w:sz w:val="18"/>
                <w:szCs w:val="18"/>
              </w:rPr>
              <w:t>opracowania planu działania przy obsłudze klienta .</w:t>
            </w:r>
            <w:r w:rsidRPr="000E4F14">
              <w:rPr>
                <w:rFonts w:cs="Arial"/>
                <w:sz w:val="18"/>
                <w:szCs w:val="18"/>
              </w:rPr>
              <w:t xml:space="preserve"> Ćwiczenia </w:t>
            </w:r>
            <w:r w:rsidRPr="000E4F14">
              <w:rPr>
                <w:sz w:val="18"/>
                <w:szCs w:val="18"/>
              </w:rPr>
              <w:t xml:space="preserve">należy poprzedzić </w:t>
            </w:r>
            <w:r w:rsidRPr="000E4F14">
              <w:rPr>
                <w:rFonts w:cs="Arial"/>
                <w:sz w:val="18"/>
                <w:szCs w:val="18"/>
              </w:rPr>
              <w:t>zastosowaniem na wstępie podających metod nauczania, tj. mini wykładu, pogadanki.</w:t>
            </w:r>
          </w:p>
          <w:p w:rsidR="00560580" w:rsidRPr="000E4F14" w:rsidRDefault="00560580" w:rsidP="00F97EA2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560580" w:rsidRPr="000E4F14" w:rsidRDefault="00560580" w:rsidP="00F97EA2">
            <w:pPr>
              <w:jc w:val="both"/>
              <w:rPr>
                <w:sz w:val="18"/>
                <w:szCs w:val="18"/>
              </w:rPr>
            </w:pPr>
          </w:p>
          <w:p w:rsidR="00560580" w:rsidRPr="00741893" w:rsidRDefault="00560580" w:rsidP="00F97EA2">
            <w:pPr>
              <w:jc w:val="both"/>
              <w:rPr>
                <w:sz w:val="18"/>
                <w:szCs w:val="18"/>
              </w:rPr>
            </w:pPr>
          </w:p>
          <w:p w:rsidR="00560580" w:rsidRPr="00B0423D" w:rsidRDefault="00560580" w:rsidP="00F97EA2">
            <w:pPr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0580" w:rsidRPr="00741893" w:rsidRDefault="00560580" w:rsidP="00F06B86">
            <w:pPr>
              <w:rPr>
                <w:sz w:val="18"/>
                <w:szCs w:val="18"/>
              </w:rPr>
            </w:pPr>
            <w:r w:rsidRPr="000E4F14">
              <w:rPr>
                <w:rFonts w:cs="Arial"/>
                <w:sz w:val="18"/>
                <w:szCs w:val="18"/>
              </w:rPr>
              <w:t xml:space="preserve">Dominującą metodą </w:t>
            </w:r>
            <w:r w:rsidRPr="000E4F14">
              <w:rPr>
                <w:sz w:val="18"/>
                <w:szCs w:val="18"/>
              </w:rPr>
              <w:t xml:space="preserve">powinny być </w:t>
            </w:r>
            <w:r w:rsidRPr="000E4F14">
              <w:rPr>
                <w:rFonts w:cs="Arial"/>
                <w:sz w:val="18"/>
                <w:szCs w:val="18"/>
              </w:rPr>
              <w:t xml:space="preserve">aktywizujące metody kształcenia, ze szczególnym uwzględnieniem metody ćwiczeń, metody projektów oraz ćwiczeń praktycznych </w:t>
            </w:r>
            <w:r>
              <w:rPr>
                <w:rFonts w:cs="Arial"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d</w:t>
            </w:r>
            <w:r w:rsidRPr="00034E04">
              <w:rPr>
                <w:rFonts w:cs="Calibri"/>
                <w:sz w:val="18"/>
                <w:szCs w:val="18"/>
              </w:rPr>
              <w:t>okumentacja rozliczeniowa  w pr</w:t>
            </w:r>
            <w:r>
              <w:rPr>
                <w:rFonts w:cs="Calibri"/>
                <w:sz w:val="18"/>
                <w:szCs w:val="18"/>
              </w:rPr>
              <w:t>ocesie kupna- sprzedaży usług T</w:t>
            </w:r>
            <w:r w:rsidRPr="00034E04"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>L w</w:t>
            </w:r>
            <w:r w:rsidRPr="00034E04">
              <w:rPr>
                <w:rFonts w:cs="Calibri"/>
                <w:sz w:val="18"/>
                <w:szCs w:val="18"/>
              </w:rPr>
              <w:t xml:space="preserve">  wymianie krajowej i międzynarodowej dla lokalnych przedsiębiorst</w:t>
            </w:r>
            <w:r>
              <w:rPr>
                <w:rFonts w:cs="Calibri"/>
                <w:sz w:val="18"/>
                <w:szCs w:val="18"/>
              </w:rPr>
              <w:t>w T</w:t>
            </w:r>
            <w:r w:rsidRPr="00034E04"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>L)</w:t>
            </w:r>
            <w:r w:rsidRPr="000E4F14">
              <w:rPr>
                <w:rFonts w:cs="Arial"/>
                <w:sz w:val="18"/>
                <w:szCs w:val="18"/>
              </w:rPr>
              <w:t xml:space="preserve">z zastosowaniem komputerów. Uczniowie </w:t>
            </w:r>
            <w:r w:rsidRPr="000E4F14">
              <w:rPr>
                <w:sz w:val="18"/>
                <w:szCs w:val="18"/>
              </w:rPr>
              <w:t xml:space="preserve">powinni </w:t>
            </w:r>
            <w:r w:rsidRPr="000E4F14">
              <w:rPr>
                <w:rFonts w:cs="Arial"/>
                <w:sz w:val="18"/>
                <w:szCs w:val="18"/>
              </w:rPr>
              <w:t xml:space="preserve">otrzymywać zróżnicowane pomoce dydaktyczne </w:t>
            </w:r>
            <w:r w:rsidRPr="000E4F14">
              <w:rPr>
                <w:sz w:val="18"/>
                <w:szCs w:val="18"/>
              </w:rPr>
              <w:t>ułatwiające wykonywanie ćwiczeń rozwijających</w:t>
            </w:r>
            <w:r w:rsidRPr="000E4F14">
              <w:rPr>
                <w:rFonts w:cs="Arial"/>
                <w:sz w:val="18"/>
                <w:szCs w:val="18"/>
              </w:rPr>
              <w:t xml:space="preserve"> umiejętności </w:t>
            </w:r>
            <w:r w:rsidRPr="000E4F14">
              <w:rPr>
                <w:bCs/>
                <w:sz w:val="18"/>
                <w:szCs w:val="18"/>
              </w:rPr>
              <w:t>opracowania planu działania przy obsłudze klienta .</w:t>
            </w:r>
            <w:r w:rsidRPr="000E4F14">
              <w:rPr>
                <w:rFonts w:cs="Arial"/>
                <w:sz w:val="18"/>
                <w:szCs w:val="18"/>
              </w:rPr>
              <w:t xml:space="preserve"> Ćwiczenia </w:t>
            </w:r>
            <w:r w:rsidRPr="000E4F14">
              <w:rPr>
                <w:sz w:val="18"/>
                <w:szCs w:val="18"/>
              </w:rPr>
              <w:t xml:space="preserve">należy poprzedzić </w:t>
            </w:r>
            <w:r w:rsidRPr="000E4F14">
              <w:rPr>
                <w:rFonts w:cs="Arial"/>
                <w:sz w:val="18"/>
                <w:szCs w:val="18"/>
              </w:rPr>
              <w:t>zastosowaniem na wstępie podających metod nauczania, tj. mini wykładu, pogadanki.</w:t>
            </w:r>
          </w:p>
          <w:p w:rsidR="00560580" w:rsidRPr="00B0423D" w:rsidRDefault="00560580" w:rsidP="00F97EA2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265198" w:rsidRDefault="00265198">
      <w:pPr>
        <w:widowControl w:val="0"/>
        <w:kinsoku w:val="0"/>
        <w:overflowPunct w:val="0"/>
        <w:spacing w:before="11" w:line="251" w:lineRule="exact"/>
        <w:textAlignment w:val="baseline"/>
      </w:pPr>
    </w:p>
    <w:p w:rsidR="00560580" w:rsidRPr="00560580" w:rsidRDefault="00560580">
      <w:pPr>
        <w:widowControl w:val="0"/>
        <w:kinsoku w:val="0"/>
        <w:overflowPunct w:val="0"/>
        <w:spacing w:before="11" w:line="251" w:lineRule="exact"/>
        <w:textAlignment w:val="baseline"/>
        <w:rPr>
          <w:b/>
          <w:sz w:val="44"/>
          <w:szCs w:val="44"/>
        </w:rPr>
      </w:pPr>
    </w:p>
    <w:p w:rsidR="00FF61C9" w:rsidRPr="00560580" w:rsidRDefault="00FF61C9">
      <w:pPr>
        <w:widowControl w:val="0"/>
        <w:kinsoku w:val="0"/>
        <w:overflowPunct w:val="0"/>
        <w:spacing w:before="11" w:line="251" w:lineRule="exact"/>
        <w:textAlignment w:val="baseline"/>
        <w:rPr>
          <w:b/>
          <w:sz w:val="44"/>
          <w:szCs w:val="44"/>
        </w:rPr>
      </w:pPr>
    </w:p>
    <w:tbl>
      <w:tblPr>
        <w:tblW w:w="1445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512"/>
        <w:gridCol w:w="4851"/>
      </w:tblGrid>
      <w:tr w:rsidR="00FD34F8" w:rsidRPr="00FD34F8" w:rsidTr="009942A5">
        <w:trPr>
          <w:trHeight w:val="1198"/>
        </w:trPr>
        <w:tc>
          <w:tcPr>
            <w:tcW w:w="60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8E4BC"/>
            <w:noWrap/>
            <w:vAlign w:val="center"/>
            <w:hideMark/>
          </w:tcPr>
          <w:p w:rsidR="00FD34F8" w:rsidRPr="003219CB" w:rsidRDefault="00FD34F8" w:rsidP="00FD34F8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lastRenderedPageBreak/>
              <w:t>Zakupiony sprzęt i oprogramowanie</w:t>
            </w:r>
          </w:p>
        </w:tc>
        <w:tc>
          <w:tcPr>
            <w:tcW w:w="351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8E4BC"/>
            <w:vAlign w:val="center"/>
            <w:hideMark/>
          </w:tcPr>
          <w:p w:rsidR="00FD34F8" w:rsidRPr="003219CB" w:rsidRDefault="00FD34F8" w:rsidP="00FD34F8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t>Jednostka modułowa programu nauczania</w:t>
            </w:r>
          </w:p>
        </w:tc>
        <w:tc>
          <w:tcPr>
            <w:tcW w:w="485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8E4BC"/>
            <w:vAlign w:val="center"/>
            <w:hideMark/>
          </w:tcPr>
          <w:p w:rsidR="00FD34F8" w:rsidRPr="003219CB" w:rsidRDefault="00FD34F8" w:rsidP="00FD34F8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t>Obecne metody nauczania</w:t>
            </w:r>
          </w:p>
        </w:tc>
      </w:tr>
      <w:tr w:rsidR="003219CB" w:rsidRPr="00FD34F8" w:rsidTr="00BF3978">
        <w:trPr>
          <w:trHeight w:val="8711"/>
        </w:trPr>
        <w:tc>
          <w:tcPr>
            <w:tcW w:w="6096" w:type="dxa"/>
            <w:tcBorders>
              <w:top w:val="nil"/>
              <w:left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eastAsia="pl-PL"/>
              </w:rPr>
              <w:t>Lenovo ThinkPad P50s 20FK000JPB W10Pro i7-6600U/16GB/SSD 512GB/M500M 2GB/15.6" FHD IPS NT/3YRS OS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  <w:r w:rsidRPr="00267DDF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br/>
            </w:r>
            <w:r w:rsidRPr="003219CB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t>Lenovo ThinkCentre M700 10GT002CPB - Core i7 6700 / 8 GB / 512 SSD / K420quadro/ DVD / Windows 10 Pro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t>IIYAMA 24'' B2483HSU-B1DP DP, 3xUSB, PIVOT, HAS, GŁOŚNIK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eastAsia="pl-PL"/>
              </w:rPr>
              <w:t>Epson Projektor EB-1970W 3LCD WXGA/5000/10:000 1/4,5 kg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eastAsia="pl-PL"/>
              </w:rPr>
              <w:t>AVTek Ekran elektryczny Cinema Electric 300P, 16:9, 300 x 227.5 cm, powierzchnia biała, matowa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eastAsia="pl-PL"/>
              </w:rPr>
              <w:t>NetSupport School 12 PL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eastAsia="pl-PL"/>
              </w:rPr>
              <w:t>LogiLink Stacja dokująca USB3.0 dla 4xHDD 2,5'/3,5' SATA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3219CB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Adata Dashdrive Classic UV140 16GB USB3.0 Czerwony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t>Maxtor M3 1TB 2,5'' USB 3.0 STSHX-M101TCBM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t>OfficeProPlus 2016 21stanowisk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pl-PL"/>
              </w:rPr>
            </w:pPr>
            <w:r w:rsidRPr="003219CB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pl-PL"/>
              </w:rPr>
              <w:t>Telewizor SAMSUNG 60" UE60J6250 LED Full HD Smart TV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t>DENON Amplituner AV AVR-X520BT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t>denon sc-f109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t>Nikon COOLPIX P900 Czarny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t xml:space="preserve">ECO PRO 700 CDS 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t>OKI MFP MC853dn A3 45850404 23ppm/duplex/faks/RADF</w:t>
            </w: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</w:p>
          <w:p w:rsidR="003219CB" w:rsidRPr="003219CB" w:rsidRDefault="003219CB" w:rsidP="00FD34F8">
            <w:pPr>
              <w:suppressAutoHyphens w:val="0"/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</w:pPr>
            <w:r w:rsidRPr="003219CB">
              <w:rPr>
                <w:rFonts w:asciiTheme="minorHAnsi" w:hAnsiTheme="minorHAnsi" w:cs="Arial"/>
                <w:sz w:val="22"/>
                <w:szCs w:val="22"/>
                <w:lang w:val="en-US" w:eastAsia="pl-PL"/>
              </w:rPr>
              <w:t>OKI AiO MC562dnw A4 PL LAN/USB/PCL/ADF/duplex</w:t>
            </w:r>
          </w:p>
          <w:p w:rsidR="003219CB" w:rsidRDefault="003219CB" w:rsidP="00FD34F8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</w:p>
          <w:p w:rsidR="003219CB" w:rsidRDefault="003219CB" w:rsidP="00FD34F8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</w:p>
          <w:p w:rsidR="003219CB" w:rsidRDefault="003219CB" w:rsidP="00FD34F8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</w:p>
          <w:p w:rsidR="003219CB" w:rsidRDefault="003219CB" w:rsidP="00FD34F8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</w:p>
          <w:p w:rsidR="003219CB" w:rsidRPr="003219CB" w:rsidRDefault="003219CB" w:rsidP="00FD34F8">
            <w:pPr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3219CB" w:rsidRPr="00FD34F8" w:rsidRDefault="003219CB" w:rsidP="00FD34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Systemy operacyjne - jednostki modułowe realizowane w pracowni komputerowej 208        </w:t>
            </w:r>
          </w:p>
        </w:tc>
        <w:tc>
          <w:tcPr>
            <w:tcW w:w="485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3219CB" w:rsidRPr="00FD34F8" w:rsidRDefault="003219CB" w:rsidP="00FD34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Metody podające: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-uczenie się gotowych treści poprzez stosowanie: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- opowiadania, wykładu, odczytu, pogadanki,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dyskusji, pracy z podręcznikiem                     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Metody eksponujące: pokazu, filmu,  prezentacji programu komputerowego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Metody praktyczne: wykonywanie czynności praktycznych</w:t>
            </w:r>
          </w:p>
        </w:tc>
      </w:tr>
      <w:tr w:rsidR="003219CB" w:rsidRPr="00FD34F8" w:rsidTr="00A40628">
        <w:trPr>
          <w:trHeight w:val="3446"/>
        </w:trPr>
        <w:tc>
          <w:tcPr>
            <w:tcW w:w="6096" w:type="dxa"/>
            <w:tcBorders>
              <w:top w:val="nil"/>
              <w:left w:val="single" w:sz="4" w:space="0" w:color="B2B2B2"/>
              <w:right w:val="single" w:sz="4" w:space="0" w:color="B2B2B2"/>
            </w:tcBorders>
            <w:shd w:val="clear" w:color="000000" w:fill="FDE9D9"/>
            <w:vAlign w:val="center"/>
            <w:hideMark/>
          </w:tcPr>
          <w:p w:rsidR="003219CB" w:rsidRPr="003219CB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219C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Lenovo Srv4U E5-2630V3 32GB DVDRW TD350 70DJ0016GE</w:t>
            </w:r>
          </w:p>
          <w:p w:rsidR="003219CB" w:rsidRPr="00F06B86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F06B86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Lenovo 2.5in 1.2TB 10K SAS HDD 00MM690</w:t>
            </w:r>
          </w:p>
          <w:p w:rsidR="003219CB" w:rsidRPr="00F06B86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F06B86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Zyxel GS2210-48HP PoE 44xGb 4xRJ45/SFP 2xSFP</w:t>
            </w:r>
          </w:p>
          <w:p w:rsidR="003219CB" w:rsidRPr="00F06B86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F06B86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UBIQUITI UAP-PRO AccessPoint N300 N450 Dual Band 2,4GHZ 5GHz 122m UA</w:t>
            </w:r>
          </w:p>
          <w:p w:rsidR="003219CB" w:rsidRPr="00FD34F8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Alantec Tester okablowania LCD MT-8108 NI022</w:t>
            </w:r>
          </w:p>
          <w:p w:rsidR="003219CB" w:rsidRPr="00FD34F8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Router MikroTik RB1100AHx2</w:t>
            </w:r>
          </w:p>
          <w:p w:rsidR="003219CB" w:rsidRPr="00FD34F8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RACKOWA GETFORT 19 CALI 6U 600X450 Wisząca Wyposażona</w:t>
            </w:r>
          </w:p>
          <w:p w:rsidR="003219CB" w:rsidRPr="00F06B86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F06B86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Windows Svr Std 2016 64Bit Polish 1pk DSP OEI DVD 16 Core</w:t>
            </w:r>
          </w:p>
          <w:p w:rsidR="003219CB" w:rsidRPr="00F06B86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F06B86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Microsoft OEM Win CAL 2016 Device PL 5Clt R18-05213</w:t>
            </w:r>
          </w:p>
          <w:p w:rsidR="003219CB" w:rsidRPr="003219CB" w:rsidRDefault="003219CB" w:rsidP="00FD34F8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NetSupport School 12 PL</w:t>
            </w:r>
          </w:p>
        </w:tc>
        <w:tc>
          <w:tcPr>
            <w:tcW w:w="3512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DE9D9"/>
            <w:vAlign w:val="center"/>
            <w:hideMark/>
          </w:tcPr>
          <w:p w:rsidR="003219CB" w:rsidRPr="00FD34F8" w:rsidRDefault="003219CB" w:rsidP="00FD34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Projektowanie i wykonywanie lokalnej sieci komputerowej- jednostka modułowa realizowana w pracowni komputerowej 208</w:t>
            </w:r>
          </w:p>
        </w:tc>
        <w:tc>
          <w:tcPr>
            <w:tcW w:w="485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DE9D9"/>
            <w:vAlign w:val="center"/>
            <w:hideMark/>
          </w:tcPr>
          <w:p w:rsidR="003219CB" w:rsidRPr="00FD34F8" w:rsidRDefault="003219CB" w:rsidP="00FD34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Metody podające: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-uczenie się gotowych treści poprzez stosowanie: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- opowiadania, wykładu, odczytu, pogadanki,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dyskusji, pracy z podręcznikiem                     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Metody eksponujące: pokazu, filmu,  prezentacji programu komputerowego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Metody praktyczne: wykonywanie czynności praktycznych</w:t>
            </w:r>
          </w:p>
        </w:tc>
      </w:tr>
      <w:tr w:rsidR="003219CB" w:rsidRPr="00FD34F8" w:rsidTr="004D6C49">
        <w:trPr>
          <w:trHeight w:val="5377"/>
        </w:trPr>
        <w:tc>
          <w:tcPr>
            <w:tcW w:w="6096" w:type="dxa"/>
            <w:tcBorders>
              <w:top w:val="nil"/>
              <w:left w:val="single" w:sz="4" w:space="0" w:color="B2B2B2"/>
              <w:right w:val="single" w:sz="4" w:space="0" w:color="B2B2B2"/>
            </w:tcBorders>
            <w:shd w:val="clear" w:color="000000" w:fill="DCE6F1"/>
            <w:vAlign w:val="bottom"/>
            <w:hideMark/>
          </w:tcPr>
          <w:p w:rsidR="003219CB" w:rsidRPr="00FD34F8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SQLSvrStd 2016 SNGL OLP NL Acdmc </w:t>
            </w:r>
          </w:p>
          <w:p w:rsidR="003219CB" w:rsidRPr="003219CB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219C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SQLCAL 2016 SNGL OLP NL Acdmc DvcCAL  20cal</w:t>
            </w:r>
          </w:p>
          <w:p w:rsidR="003219CB" w:rsidRPr="003219CB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219C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Lenovo ThinkPad P50s 20FK000JPB W10Pro i7-6600U/16GB/SSD 512GB/M500M 2GB/15.6" FHD IPS NT/3YRS OS</w:t>
            </w:r>
          </w:p>
          <w:p w:rsidR="003219CB" w:rsidRPr="00F06B86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267DDF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br/>
            </w:r>
            <w:r w:rsidRPr="00F06B86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Lenovo ThinkCentre M700 10GT002CPB - Core i7 6700 / 8 GB / 512 SSD / K420quadro/ DVD / Windows 10 Pro</w:t>
            </w:r>
          </w:p>
          <w:p w:rsidR="003219CB" w:rsidRPr="00F06B86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F06B86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IIYAMA 24'' B2483HSU-B1DP DP, 3xUSB, PIVOT, HAS, GŁOŚNIK</w:t>
            </w:r>
          </w:p>
          <w:p w:rsidR="003219CB" w:rsidRPr="00FD34F8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Epson Projektor EB-1970W 3LCD WXGA/5000/10:000 1/4,5 kg</w:t>
            </w:r>
          </w:p>
          <w:p w:rsidR="003219CB" w:rsidRPr="00FD34F8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AVTek Ekran elektryczny Cinema Electric 300P, 16:9, 300 x 227.5 cm, powierzchnia biała, matowa</w:t>
            </w:r>
          </w:p>
          <w:p w:rsidR="003219CB" w:rsidRPr="00FD34F8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NetSupport School 12 PL</w:t>
            </w:r>
          </w:p>
          <w:p w:rsidR="003219CB" w:rsidRPr="00FD34F8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LogiLink Stacja dokująca USB3.0 dla 4xHDD 2,5'/3,5' SATA</w:t>
            </w:r>
          </w:p>
          <w:p w:rsidR="003219CB" w:rsidRPr="003219CB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219C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Adata Dashdrive Classic UV140 16GB USB3.0 Czerwony</w:t>
            </w:r>
          </w:p>
          <w:p w:rsidR="003219CB" w:rsidRPr="00F06B86" w:rsidRDefault="003219CB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F06B86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Maxtor M3 1TB 2,5'' USB 3.0 STSHX-M101TCBM</w:t>
            </w:r>
          </w:p>
          <w:p w:rsidR="003219CB" w:rsidRPr="00FD34F8" w:rsidRDefault="003219CB" w:rsidP="00FD34F8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OfficeProPlus 2016 21stanowisk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3219CB" w:rsidRPr="00FD34F8" w:rsidRDefault="003219CB" w:rsidP="00FD34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Systemy zarządzania bazą danych - jednostka modułowa realizowana w pracowni komputerowej 208</w:t>
            </w:r>
          </w:p>
        </w:tc>
        <w:tc>
          <w:tcPr>
            <w:tcW w:w="4851" w:type="dxa"/>
            <w:vMerge w:val="restar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3219CB" w:rsidRPr="00FD34F8" w:rsidRDefault="003219CB" w:rsidP="00FD34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Metody podające: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-uczenie się gotowych treści poprzez stosowanie: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- opowiadania, wykładu, odczytu, pogadanki,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dyskusji, pracy z podręcznikiem                     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Metody eksponujące: pokazu, filmu,  prezentacji programu komputerowego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Metody praktyczne: wykonywanie czynności praktycznych</w:t>
            </w:r>
          </w:p>
        </w:tc>
      </w:tr>
      <w:tr w:rsidR="00FD34F8" w:rsidRPr="00FD34F8" w:rsidTr="009942A5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:rsidR="00FD34F8" w:rsidRPr="00FD34F8" w:rsidRDefault="00FD34F8" w:rsidP="00FD34F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FD34F8" w:rsidRPr="00FD34F8" w:rsidRDefault="00FD34F8" w:rsidP="00FD34F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FD34F8" w:rsidRPr="00FD34F8" w:rsidRDefault="00FD34F8" w:rsidP="00FD34F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F61C9" w:rsidRDefault="00FF61C9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</w:rPr>
      </w:pPr>
    </w:p>
    <w:p w:rsidR="004C4A56" w:rsidRPr="004C4A56" w:rsidRDefault="004C4A56" w:rsidP="004C4A56"/>
    <w:p w:rsidR="004C4A56" w:rsidRDefault="004C4A56" w:rsidP="004C4A56"/>
    <w:tbl>
      <w:tblPr>
        <w:tblW w:w="1445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0"/>
        <w:gridCol w:w="3108"/>
        <w:gridCol w:w="4111"/>
      </w:tblGrid>
      <w:tr w:rsidR="003219CB" w:rsidRPr="000020C1" w:rsidTr="003219CB">
        <w:trPr>
          <w:trHeight w:val="1198"/>
        </w:trPr>
        <w:tc>
          <w:tcPr>
            <w:tcW w:w="724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8E4BC"/>
            <w:noWrap/>
            <w:vAlign w:val="center"/>
            <w:hideMark/>
          </w:tcPr>
          <w:p w:rsidR="003219CB" w:rsidRPr="003219CB" w:rsidRDefault="003219CB" w:rsidP="00FE02F3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lastRenderedPageBreak/>
              <w:t>Zakupiony sprzęt i oprogramowanie</w:t>
            </w:r>
          </w:p>
        </w:tc>
        <w:tc>
          <w:tcPr>
            <w:tcW w:w="310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8E4BC"/>
            <w:vAlign w:val="center"/>
            <w:hideMark/>
          </w:tcPr>
          <w:p w:rsidR="003219CB" w:rsidRPr="003219CB" w:rsidRDefault="003219CB" w:rsidP="00FE02F3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t>Jednostka modułowa programu nauczania</w:t>
            </w:r>
          </w:p>
        </w:tc>
        <w:tc>
          <w:tcPr>
            <w:tcW w:w="411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8E4BC"/>
            <w:vAlign w:val="center"/>
            <w:hideMark/>
          </w:tcPr>
          <w:p w:rsidR="003219CB" w:rsidRPr="003219CB" w:rsidRDefault="003219CB" w:rsidP="00FE02F3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t>Obecne metody nauczania</w:t>
            </w:r>
          </w:p>
        </w:tc>
      </w:tr>
      <w:tr w:rsidR="003219CB" w:rsidRPr="00FD34F8" w:rsidTr="003219CB">
        <w:trPr>
          <w:trHeight w:val="7234"/>
        </w:trPr>
        <w:tc>
          <w:tcPr>
            <w:tcW w:w="7240" w:type="dxa"/>
            <w:tcBorders>
              <w:top w:val="nil"/>
              <w:left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3219CB" w:rsidRDefault="003219CB" w:rsidP="00FE02F3"/>
          <w:p w:rsidR="003219CB" w:rsidRDefault="003219CB" w:rsidP="00FE02F3"/>
          <w:tbl>
            <w:tblPr>
              <w:tblW w:w="7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00"/>
            </w:tblGrid>
            <w:tr w:rsidR="003219CB" w:rsidRPr="003D5015" w:rsidTr="00FE02F3">
              <w:trPr>
                <w:trHeight w:val="6645"/>
              </w:trPr>
              <w:tc>
                <w:tcPr>
                  <w:tcW w:w="7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pl-PL"/>
                    </w:rPr>
                    <w:t>DDR3 DIMM 4 GB (1333 MHz)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pl-PL"/>
                    </w:rPr>
                    <w:t>RAM 8GB Dell PowerEdge R310 DDR3  1066MHz ECC Registered DIMM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pl-PL"/>
                    </w:rPr>
                    <w:t>Dysk serwerowy - 4TB Near Line SAS 7,2K 3,5"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Głowica drukująca CANON PF-03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Projektor Epson EB-U32, WUXGA, (V11H722040)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HDMI (15m)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Stacja lutownicza hotair i grotowa WEP 992D+  720W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Miernik uniwersalny UNI-T UT139C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Cyna Cynel LC60 250g / 1.00mm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Topnik RF800 15ml 2x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Kalafonia 100g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Topnik w żelu - strzykawka 14ml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Odsysacz do cyny OD-25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Plecionka do odsysania cyny 2mm x 4</w:t>
                  </w:r>
                </w:p>
                <w:p w:rsidR="003219CB" w:rsidRPr="003D5015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Uchwyt z lupą - trzecia ręka ZD10D</w:t>
                  </w:r>
                </w:p>
                <w:p w:rsidR="003219CB" w:rsidRDefault="003219CB" w:rsidP="00FE02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Pęseta antymagnetyczna prosta BK11</w:t>
                  </w:r>
                </w:p>
                <w:p w:rsidR="003219CB" w:rsidRDefault="003219CB" w:rsidP="00FE02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Camtasia Studio 8 - licencja edukacyjna</w:t>
                  </w:r>
                </w:p>
                <w:p w:rsidR="003219CB" w:rsidRPr="003D5015" w:rsidRDefault="003219CB" w:rsidP="00FE02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D5015"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  <w:t>NetSupport School 12 PL</w:t>
                  </w:r>
                </w:p>
              </w:tc>
            </w:tr>
          </w:tbl>
          <w:p w:rsidR="003219CB" w:rsidRPr="003D5015" w:rsidRDefault="003219CB" w:rsidP="00FE02F3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3219CB" w:rsidRPr="00FD34F8" w:rsidRDefault="003219CB" w:rsidP="00FE02F3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3219CB" w:rsidRPr="00FD34F8" w:rsidRDefault="003219CB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ednostki modułowe realizow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ane w bazie komputerowej 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      </w:t>
            </w:r>
          </w:p>
        </w:tc>
        <w:tc>
          <w:tcPr>
            <w:tcW w:w="411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3219CB" w:rsidRPr="00FD34F8" w:rsidRDefault="003219CB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Metody podające: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-uczenie się gotowych treści poprzez stosowanie: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- opowiadania, wykładu, odczytu, pogadanki,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dyskusji, pracy z podręcznikiem                     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Metody eksponujące: pokazu, filmu,  prezentacji programu komputerowego</w:t>
            </w:r>
            <w:r w:rsidRPr="00FD34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Metody praktyczne: wykonywanie czynności praktycznych</w:t>
            </w:r>
          </w:p>
        </w:tc>
      </w:tr>
    </w:tbl>
    <w:p w:rsidR="0072097F" w:rsidRDefault="0072097F" w:rsidP="004C4A56"/>
    <w:p w:rsidR="0072097F" w:rsidRDefault="0072097F" w:rsidP="004C4A56"/>
    <w:p w:rsidR="0072097F" w:rsidRDefault="0072097F" w:rsidP="004C4A56"/>
    <w:p w:rsidR="0072097F" w:rsidRPr="004C4A56" w:rsidRDefault="0072097F" w:rsidP="004C4A56"/>
    <w:tbl>
      <w:tblPr>
        <w:tblW w:w="1440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12049"/>
      </w:tblGrid>
      <w:tr w:rsidR="0072097F" w:rsidRPr="006B6D60" w:rsidTr="003219CB">
        <w:trPr>
          <w:trHeight w:val="1414"/>
        </w:trPr>
        <w:tc>
          <w:tcPr>
            <w:tcW w:w="235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8E4BC"/>
            <w:vAlign w:val="center"/>
            <w:hideMark/>
          </w:tcPr>
          <w:p w:rsidR="0072097F" w:rsidRPr="003219CB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lastRenderedPageBreak/>
              <w:t>Jednostka modułowa programu nauczania</w:t>
            </w:r>
          </w:p>
        </w:tc>
        <w:tc>
          <w:tcPr>
            <w:tcW w:w="1204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8E4BC"/>
            <w:noWrap/>
            <w:vAlign w:val="center"/>
            <w:hideMark/>
          </w:tcPr>
          <w:p w:rsidR="0072097F" w:rsidRPr="003219CB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t>Modernizacja  metod kształcenia</w:t>
            </w:r>
          </w:p>
        </w:tc>
      </w:tr>
      <w:tr w:rsidR="0072097F" w:rsidRPr="006B6D60" w:rsidTr="003219CB">
        <w:trPr>
          <w:trHeight w:val="552"/>
        </w:trPr>
        <w:tc>
          <w:tcPr>
            <w:tcW w:w="2357" w:type="dxa"/>
            <w:vMerge w:val="restar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B6D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Systemy operacyjne - jednostki modułowe realizowane w pracowni komputerowej 208        </w:t>
            </w:r>
          </w:p>
        </w:tc>
        <w:tc>
          <w:tcPr>
            <w:tcW w:w="12049" w:type="dxa"/>
            <w:vMerge w:val="restar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B6D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Metoda pokazu z instruktażem, metoda tekstu przewodniego, metoda projektu edukacyjnego, metoda webquest, </w:t>
            </w:r>
          </w:p>
          <w:p w:rsidR="0072097F" w:rsidRPr="006B6D60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A46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  <w:t xml:space="preserve">metoda flipped classroom – „odwrócone nauczanie”, metoda peer learning.                                                                                                                               </w:t>
            </w:r>
            <w:r w:rsidRPr="006B6D6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Modernizacja jednostek centralnych ma zwiększyć możliwości sprzętowe, dzięki którym możliwe będzie uruchamiania maszyn wirtualnych z systemami operacyjnymi.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B6D6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Szkolnictwo zawodowe jest tym obszarem edukacji, w którym szczególnego znaczenia nabiera konieczność stosowania metod i technik dydaktycznych ukierunkowanych na kształcenie u uczniów umiejętności praktycznych oraz skutecznego i samodzielnego rozwiązywania postawionych przed nimi problemów. Zakup sprzętu komputerowego oraz odpowiedniego oprogramowania pozwoli udoskonalić metody kształcenia oraz pozwoli włączyć do swojego warsztatu dydaktycznego innowacyjnych metod pracy z uczniem, w tym przede wszystkich metod angażujących narzędzia technologii informacyjno-komunikacyjnej. Właściwie zaprojektowany proces dydaktyczny, opierający się na szerokim wykorzystaniu komputerów i internetu, pozwala nie tylko na osiągnięcie celów edukacyjnych wynikających z programu nauczania danego przedmiotu, ale także na efektywne rozwijanie kompetencji informacyjnych uczniów, kluczowych dla ich skutecznego funkcjonowania w społeczeństwie, a przyszłości – także na rynku pracy. </w:t>
            </w:r>
          </w:p>
        </w:tc>
      </w:tr>
      <w:tr w:rsidR="0072097F" w:rsidRPr="006B6D60" w:rsidTr="003219CB">
        <w:trPr>
          <w:trHeight w:val="82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40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4C4A56" w:rsidRDefault="004C4A56" w:rsidP="004C4A56"/>
    <w:p w:rsidR="004F7060" w:rsidRDefault="004F7060" w:rsidP="004C4A56">
      <w:pPr>
        <w:jc w:val="right"/>
      </w:pPr>
    </w:p>
    <w:p w:rsidR="004C4A56" w:rsidRPr="004C4A56" w:rsidRDefault="004C4A56" w:rsidP="004C4A56">
      <w:pPr>
        <w:jc w:val="right"/>
      </w:pPr>
    </w:p>
    <w:p w:rsidR="004C4A56" w:rsidRDefault="004C4A56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</w:rPr>
      </w:pPr>
    </w:p>
    <w:p w:rsidR="004C4A56" w:rsidRDefault="004C4A56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</w:rPr>
      </w:pPr>
    </w:p>
    <w:p w:rsidR="0072097F" w:rsidRDefault="0072097F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</w:rPr>
      </w:pPr>
    </w:p>
    <w:p w:rsidR="0072097F" w:rsidRDefault="0072097F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</w:rPr>
      </w:pPr>
    </w:p>
    <w:p w:rsidR="0072097F" w:rsidRDefault="0072097F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</w:rPr>
      </w:pPr>
    </w:p>
    <w:p w:rsidR="004C4A56" w:rsidRDefault="004C4A56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</w:rPr>
      </w:pP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12049"/>
      </w:tblGrid>
      <w:tr w:rsidR="0072097F" w:rsidRPr="006B6D60" w:rsidTr="003219CB">
        <w:trPr>
          <w:trHeight w:val="1414"/>
        </w:trPr>
        <w:tc>
          <w:tcPr>
            <w:tcW w:w="235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8E4BC"/>
            <w:vAlign w:val="center"/>
            <w:hideMark/>
          </w:tcPr>
          <w:p w:rsidR="0072097F" w:rsidRPr="003219CB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lastRenderedPageBreak/>
              <w:t>Jednostka modułowa programu nauczania</w:t>
            </w:r>
          </w:p>
        </w:tc>
        <w:tc>
          <w:tcPr>
            <w:tcW w:w="1204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8E4BC"/>
            <w:noWrap/>
            <w:vAlign w:val="center"/>
            <w:hideMark/>
          </w:tcPr>
          <w:p w:rsidR="0072097F" w:rsidRPr="003219CB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t>Modernizacja  metod kształcenia</w:t>
            </w:r>
          </w:p>
        </w:tc>
      </w:tr>
      <w:tr w:rsidR="0072097F" w:rsidRPr="006B6D60" w:rsidTr="003219CB">
        <w:trPr>
          <w:trHeight w:val="269"/>
        </w:trPr>
        <w:tc>
          <w:tcPr>
            <w:tcW w:w="2357" w:type="dxa"/>
            <w:vMerge w:val="restar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72097F" w:rsidRPr="006B6D60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Pro</w:t>
            </w:r>
            <w:r w:rsidRPr="00BF6A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jektowanie i wykonywanie lokalnej sieci komputerowej- jednostka modułowa realizowana w pracowni komputerowej 208</w:t>
            </w:r>
          </w:p>
        </w:tc>
        <w:tc>
          <w:tcPr>
            <w:tcW w:w="12049" w:type="dxa"/>
            <w:vMerge w:val="restar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F6A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Metoda pokazu z instruktażem, metoda tekstu przewodniego, metoda projektu edukacyjnego, metoda webquest,</w:t>
            </w: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 w:rsidRPr="00F06B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  <w:t xml:space="preserve">metoda flipped classroom – „odwrócone nauczanie”, metoda peer learning.                                                                                                                               </w:t>
            </w:r>
            <w:r w:rsidRPr="00BF6A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Modernizacja programu nauczania polega na zastosowaniu serwera dostosowanego do instalacji i obsługi nowego systemu sieciowego - Microsoft Serwer 2016. Uczniowie będą mogli zapoznać się z najnowocześniejszymi rozwiązaniami serwerowymi, które będą w przyszłości będą obowiązywać na rynku pracy. Dotychczasowy system, który poznawali uczniowie   to Microsoft Serwer 2008. Modernizacja polega na wprowadzeniu do programów nauczania zagadnień związanych z przygotowaniem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 xml:space="preserve"> samouczków za pomocą profesjona</w:t>
            </w:r>
            <w:r w:rsidRPr="00BF6A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l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n</w:t>
            </w:r>
            <w:r w:rsidRPr="00BF6A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ego oprogramowania. Umiejętności te mogą przydać się do przygotowania filmów szkoleniowych do realizacji wybranych zadań w firmie.</w:t>
            </w: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82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2097F" w:rsidRPr="006B6D60" w:rsidTr="003219CB">
        <w:trPr>
          <w:trHeight w:val="40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6B6D60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4C4A56" w:rsidRDefault="004C4A56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</w:rPr>
      </w:pP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12049"/>
      </w:tblGrid>
      <w:tr w:rsidR="0072097F" w:rsidRPr="006B6D60" w:rsidTr="003219CB">
        <w:trPr>
          <w:trHeight w:val="1414"/>
        </w:trPr>
        <w:tc>
          <w:tcPr>
            <w:tcW w:w="235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8E4BC"/>
            <w:vAlign w:val="center"/>
            <w:hideMark/>
          </w:tcPr>
          <w:p w:rsidR="0072097F" w:rsidRPr="003219CB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3219CB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lastRenderedPageBreak/>
              <w:t>Jednostka modułowa programu nauczania</w:t>
            </w:r>
          </w:p>
        </w:tc>
        <w:tc>
          <w:tcPr>
            <w:tcW w:w="1204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8E4BC"/>
            <w:noWrap/>
            <w:vAlign w:val="center"/>
            <w:hideMark/>
          </w:tcPr>
          <w:p w:rsidR="0072097F" w:rsidRPr="003219CB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3219CB">
              <w:rPr>
                <w:rFonts w:ascii="Calibri" w:hAnsi="Calibri" w:cs="Calibri"/>
                <w:b/>
                <w:lang w:eastAsia="pl-PL"/>
              </w:rPr>
              <w:t>Modernizacja  metod kształcenia</w:t>
            </w:r>
          </w:p>
        </w:tc>
      </w:tr>
      <w:tr w:rsidR="0072097F" w:rsidRPr="00267DDF" w:rsidTr="003219CB">
        <w:trPr>
          <w:trHeight w:val="269"/>
        </w:trPr>
        <w:tc>
          <w:tcPr>
            <w:tcW w:w="2357" w:type="dxa"/>
            <w:vMerge w:val="restar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72097F" w:rsidRPr="006B6D60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F6A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Systemy zarządzania bazą danych - jednostka modułowa realizowana w pracowni komputerowej 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08</w:t>
            </w:r>
          </w:p>
        </w:tc>
        <w:tc>
          <w:tcPr>
            <w:tcW w:w="12049" w:type="dxa"/>
            <w:vMerge w:val="restar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vAlign w:val="center"/>
            <w:hideMark/>
          </w:tcPr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2097F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F6A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Metoda pokazu z instruktażem, metoda tekstu przewodniego, metoda projektu edukacyjnego, metoda webquest, </w:t>
            </w: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  <w:r w:rsidRPr="00F06B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  <w:t xml:space="preserve">metoda flipped classroom – „odwrócone nauczanie”, metoda peer learning.  </w:t>
            </w: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  <w:p w:rsidR="0072097F" w:rsidRPr="00F06B86" w:rsidRDefault="0072097F" w:rsidP="00FE02F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82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28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72097F" w:rsidRPr="00267DDF" w:rsidTr="003219CB">
        <w:trPr>
          <w:trHeight w:val="408"/>
        </w:trPr>
        <w:tc>
          <w:tcPr>
            <w:tcW w:w="2357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2049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097F" w:rsidRPr="00F06B86" w:rsidRDefault="0072097F" w:rsidP="00FE02F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pl-PL"/>
              </w:rPr>
            </w:pPr>
          </w:p>
        </w:tc>
      </w:tr>
    </w:tbl>
    <w:p w:rsidR="004C4A56" w:rsidRPr="0072097F" w:rsidRDefault="004C4A56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  <w:lang w:val="en-US"/>
        </w:rPr>
      </w:pPr>
    </w:p>
    <w:p w:rsidR="004C4A56" w:rsidRPr="0072097F" w:rsidRDefault="004C4A56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  <w:lang w:val="en-US"/>
        </w:rPr>
      </w:pPr>
    </w:p>
    <w:p w:rsidR="0072097F" w:rsidRDefault="0072097F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  <w:lang w:val="en-US"/>
        </w:rPr>
      </w:pPr>
    </w:p>
    <w:p w:rsidR="0072097F" w:rsidRDefault="0072097F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  <w:lang w:val="en-US"/>
        </w:rPr>
      </w:pPr>
    </w:p>
    <w:p w:rsidR="0072097F" w:rsidRDefault="0072097F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  <w:lang w:val="en-US"/>
        </w:rPr>
      </w:pPr>
    </w:p>
    <w:p w:rsidR="0072097F" w:rsidRDefault="0072097F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  <w:lang w:val="en-US"/>
        </w:rPr>
      </w:pPr>
    </w:p>
    <w:p w:rsidR="0072097F" w:rsidRDefault="0072097F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  <w:lang w:val="en-US"/>
        </w:rPr>
      </w:pPr>
    </w:p>
    <w:p w:rsidR="0072097F" w:rsidRDefault="0072097F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  <w:lang w:val="en-US"/>
        </w:rPr>
      </w:pPr>
    </w:p>
    <w:p w:rsidR="0072097F" w:rsidRDefault="0072097F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  <w:lang w:val="en-US"/>
        </w:rPr>
      </w:pPr>
    </w:p>
    <w:p w:rsidR="00FF61C9" w:rsidRPr="0072097F" w:rsidRDefault="004F7060">
      <w:pPr>
        <w:widowControl w:val="0"/>
        <w:kinsoku w:val="0"/>
        <w:overflowPunct w:val="0"/>
        <w:spacing w:before="11" w:line="251" w:lineRule="exact"/>
        <w:textAlignment w:val="baseline"/>
        <w:rPr>
          <w:color w:val="FF0000"/>
          <w:lang w:val="en-US"/>
        </w:rPr>
      </w:pPr>
      <w:r w:rsidRPr="0072097F">
        <w:rPr>
          <w:color w:val="FF0000"/>
          <w:lang w:val="en-US"/>
        </w:rPr>
        <w:lastRenderedPageBreak/>
        <w:br w:type="textWrapping" w:clear="all"/>
      </w:r>
    </w:p>
    <w:tbl>
      <w:tblPr>
        <w:tblW w:w="307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8"/>
        <w:gridCol w:w="146"/>
        <w:gridCol w:w="7043"/>
        <w:gridCol w:w="146"/>
      </w:tblGrid>
      <w:tr w:rsidR="00FF61C9" w:rsidRPr="0072097F" w:rsidTr="003219CB">
        <w:trPr>
          <w:trHeight w:val="68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12049"/>
            </w:tblGrid>
            <w:tr w:rsidR="0072097F" w:rsidRPr="006B6D60" w:rsidTr="003219CB">
              <w:trPr>
                <w:trHeight w:val="1414"/>
              </w:trPr>
              <w:tc>
                <w:tcPr>
                  <w:tcW w:w="2487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D8E4BC"/>
                  <w:vAlign w:val="center"/>
                  <w:hideMark/>
                </w:tcPr>
                <w:p w:rsidR="0072097F" w:rsidRPr="003219CB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pl-PL"/>
                    </w:rPr>
                  </w:pPr>
                  <w:r w:rsidRPr="003219CB">
                    <w:rPr>
                      <w:rFonts w:ascii="Calibri" w:hAnsi="Calibri" w:cs="Calibri"/>
                      <w:b/>
                      <w:sz w:val="22"/>
                      <w:szCs w:val="22"/>
                      <w:lang w:eastAsia="pl-PL"/>
                    </w:rPr>
                    <w:t>Jednostka modułowa programu nauczania</w:t>
                  </w:r>
                </w:p>
              </w:tc>
              <w:tc>
                <w:tcPr>
                  <w:tcW w:w="12049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D8E4BC"/>
                  <w:noWrap/>
                  <w:vAlign w:val="center"/>
                  <w:hideMark/>
                </w:tcPr>
                <w:p w:rsidR="0072097F" w:rsidRPr="003219CB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lang w:eastAsia="pl-PL"/>
                    </w:rPr>
                  </w:pPr>
                  <w:r w:rsidRPr="003219CB">
                    <w:rPr>
                      <w:rFonts w:ascii="Calibri" w:hAnsi="Calibri" w:cs="Calibri"/>
                      <w:b/>
                      <w:lang w:eastAsia="pl-PL"/>
                    </w:rPr>
                    <w:t>Modernizacja  metod kształcenia</w:t>
                  </w:r>
                </w:p>
              </w:tc>
            </w:tr>
            <w:tr w:rsidR="0072097F" w:rsidRPr="00F06B86" w:rsidTr="003219CB">
              <w:trPr>
                <w:trHeight w:val="269"/>
              </w:trPr>
              <w:tc>
                <w:tcPr>
                  <w:tcW w:w="2487" w:type="dxa"/>
                  <w:vMerge w:val="restart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DCE6F1"/>
                  <w:vAlign w:val="center"/>
                  <w:hideMark/>
                </w:tcPr>
                <w:p w:rsidR="0072097F" w:rsidRPr="006B6D60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Administrowanie</w:t>
                  </w:r>
                  <w:r w:rsidRPr="009358E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systemami sieciowymi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- </w:t>
                  </w:r>
                  <w:r w:rsidRPr="00BF6A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jednostka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modułowa realizowana w bazie</w:t>
                  </w:r>
                  <w:r w:rsidRPr="00BF6A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komputerowej </w:t>
                  </w:r>
                </w:p>
              </w:tc>
              <w:tc>
                <w:tcPr>
                  <w:tcW w:w="12049" w:type="dxa"/>
                  <w:vMerge w:val="restart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DCE6F1"/>
                  <w:vAlign w:val="center"/>
                  <w:hideMark/>
                </w:tcPr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  <w:r w:rsidRPr="009358E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Modernizacja programu nauczania polega na zastosowaniu serwera dostosowanego do instalacji i obsługi nowego systemu sieciowego - Microsoft Serwer 2016. Uczniowie będą mogli zapoznać się z najnowocześniejszymi rozwiązaniami serwerowymi, które będą w przyszłości będą obowiązywać na rynku pracy. </w:t>
                  </w:r>
                  <w:r w:rsidRPr="009358E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  <w:t>Dotych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  <w:t xml:space="preserve">czasowy system, który poznawali uczniowie </w:t>
                  </w:r>
                  <w:r w:rsidRPr="009358E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  <w:t>to Microsoft Serwer 2008.</w:t>
                  </w: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  <w:p w:rsidR="0072097F" w:rsidRPr="00F06B8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82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  <w:tr w:rsidR="0072097F" w:rsidRPr="00F06B86" w:rsidTr="003219CB">
              <w:trPr>
                <w:trHeight w:val="40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F06B8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pl-PL"/>
                    </w:rPr>
                  </w:pPr>
                </w:p>
              </w:tc>
            </w:tr>
          </w:tbl>
          <w:p w:rsidR="00FF61C9" w:rsidRDefault="00FF61C9" w:rsidP="0072097F">
            <w:pPr>
              <w:rPr>
                <w:rFonts w:ascii="Calibri" w:hAnsi="Calibri"/>
                <w:sz w:val="22"/>
                <w:szCs w:val="22"/>
                <w:lang w:val="en-US"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val="en-US"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val="en-US"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val="en-US"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val="en-US"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val="en-US"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val="en-US" w:eastAsia="pl-PL"/>
              </w:rPr>
            </w:pPr>
          </w:p>
          <w:tbl>
            <w:tblPr>
              <w:tblW w:w="0" w:type="auto"/>
              <w:tblInd w:w="5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12049"/>
            </w:tblGrid>
            <w:tr w:rsidR="0072097F" w:rsidRPr="006B6D60" w:rsidTr="003219CB">
              <w:trPr>
                <w:trHeight w:val="1414"/>
              </w:trPr>
              <w:tc>
                <w:tcPr>
                  <w:tcW w:w="2487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D8E4BC"/>
                  <w:vAlign w:val="center"/>
                  <w:hideMark/>
                </w:tcPr>
                <w:p w:rsidR="0072097F" w:rsidRPr="003219CB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pl-PL"/>
                    </w:rPr>
                  </w:pPr>
                  <w:r w:rsidRPr="003219CB">
                    <w:rPr>
                      <w:rFonts w:ascii="Calibri" w:hAnsi="Calibri" w:cs="Calibri"/>
                      <w:b/>
                      <w:sz w:val="22"/>
                      <w:szCs w:val="22"/>
                      <w:lang w:eastAsia="pl-PL"/>
                    </w:rPr>
                    <w:lastRenderedPageBreak/>
                    <w:t>Jednostka modułowa programu nauczania</w:t>
                  </w:r>
                </w:p>
              </w:tc>
              <w:tc>
                <w:tcPr>
                  <w:tcW w:w="12049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D8E4BC"/>
                  <w:noWrap/>
                  <w:vAlign w:val="center"/>
                  <w:hideMark/>
                </w:tcPr>
                <w:p w:rsidR="0072097F" w:rsidRPr="003219CB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lang w:eastAsia="pl-PL"/>
                    </w:rPr>
                  </w:pPr>
                  <w:r w:rsidRPr="003219CB">
                    <w:rPr>
                      <w:rFonts w:ascii="Calibri" w:hAnsi="Calibri" w:cs="Calibri"/>
                      <w:b/>
                      <w:lang w:eastAsia="pl-PL"/>
                    </w:rPr>
                    <w:t>Modernizacja  metod kształcenia</w:t>
                  </w:r>
                </w:p>
              </w:tc>
            </w:tr>
            <w:tr w:rsidR="0072097F" w:rsidRPr="009358E6" w:rsidTr="003219CB">
              <w:trPr>
                <w:trHeight w:val="269"/>
              </w:trPr>
              <w:tc>
                <w:tcPr>
                  <w:tcW w:w="2487" w:type="dxa"/>
                  <w:vMerge w:val="restart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DCE6F1"/>
                  <w:vAlign w:val="center"/>
                  <w:hideMark/>
                </w:tcPr>
                <w:p w:rsidR="0072097F" w:rsidRPr="006B6D60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J</w:t>
                  </w:r>
                  <w:r w:rsidRPr="00BF6A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ednostka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modułowa realizowana w bazie</w:t>
                  </w:r>
                  <w:r w:rsidRPr="00BF6A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komputerowej </w:t>
                  </w:r>
                </w:p>
              </w:tc>
              <w:tc>
                <w:tcPr>
                  <w:tcW w:w="12049" w:type="dxa"/>
                  <w:vMerge w:val="restart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DCE6F1"/>
                  <w:vAlign w:val="center"/>
                  <w:hideMark/>
                </w:tcPr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9358E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Modernizacja jednostek centralnych ma zwiększyć możliwości sprzętowe, dzięki którym możliwe będzie uruchamiania maszyn wirtualnych z systemami serwerowymi. Modernizacja serwera ma umożliwić uruchomienie serwera WWW na którym uczniowie będą mogli zakładać swoje strony i sklepy bez konieczności korzystania z usług zewnętrznych.</w:t>
                  </w:r>
                </w:p>
                <w:p w:rsidR="0072097F" w:rsidRPr="004A4625" w:rsidRDefault="0072097F" w:rsidP="00FE02F3">
                  <w:pPr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9358E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Zakup głowicy drukującej do plotera umożliwi wydruk projektów sieciowych. Obecnie takich możliwości nie mamy.</w:t>
                  </w:r>
                  <w:r>
                    <w:t xml:space="preserve"> </w:t>
                  </w: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9358E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Projektory z rozdzielczością HD mają umożliwić prowadzenie lekcji z dużą rozdzielczością. Obecnie maksymalna rozdzielczość starych projektorów to 1024x768 nie daje możliwości wyświetlania właściwego stanu monitora na którym realizowana jest prezentacja.</w:t>
                  </w: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9358E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Modernizacja polegać będzie na nabyciu umiejętności uczniów wykonania pomiarów i drobnych napraw sprzętu komputerowego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9358E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Modernizacja polega na wprowadzeniu do programów nauczania nauczanych jednost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e</w:t>
                  </w:r>
                  <w:r w:rsidRPr="009358E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k modułowych zagadnień związanych z przygotowaniem samouczków za pomocą profesjonal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n</w:t>
                  </w:r>
                  <w:r w:rsidRPr="009358E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ego oprogramowania. Umiejętności te mogą przydać się do przygotowania filmów szkoleniowych do realizacji wybranych zadań w firmie.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</w:t>
                  </w:r>
                </w:p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D</w:t>
                  </w:r>
                  <w:r w:rsidRPr="004A4625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zięki temu oprogramowaniu zapewni się nauczycielowi możliwość nauczania, nadzorowania oraz współpracy z uczniami, zarówno indywidualnie jak i grupowo. Połączone są tu zaawansowane zarządzanie komputerami w pracowni, prezentacje i adnotacje na ekranie w czasie rzeczywistym, zautomatyzowane konspekty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4A4625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i lekcji, zarządzanie wydrukami, monitorowanie zawartości komputera. Lepsza kontrola wykonywanych prac przez uczniów usprawni pracę w całej bazie komputerowej.</w:t>
                  </w:r>
                </w:p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82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40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Ind w:w="5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12049"/>
            </w:tblGrid>
            <w:tr w:rsidR="0072097F" w:rsidRPr="006B6D60" w:rsidTr="003219CB">
              <w:trPr>
                <w:trHeight w:val="1414"/>
              </w:trPr>
              <w:tc>
                <w:tcPr>
                  <w:tcW w:w="2487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D8E4BC"/>
                  <w:vAlign w:val="center"/>
                  <w:hideMark/>
                </w:tcPr>
                <w:p w:rsidR="0072097F" w:rsidRPr="003219CB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lang w:eastAsia="pl-PL"/>
                    </w:rPr>
                  </w:pPr>
                  <w:r w:rsidRPr="003219CB">
                    <w:rPr>
                      <w:rFonts w:ascii="Calibri" w:hAnsi="Calibri" w:cs="Calibri"/>
                      <w:b/>
                      <w:color w:val="000000" w:themeColor="text1"/>
                      <w:lang w:eastAsia="pl-PL"/>
                    </w:rPr>
                    <w:t>Jednostka modułowa programu nauczania</w:t>
                  </w:r>
                </w:p>
              </w:tc>
              <w:tc>
                <w:tcPr>
                  <w:tcW w:w="12049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D8E4BC"/>
                  <w:noWrap/>
                  <w:vAlign w:val="center"/>
                  <w:hideMark/>
                </w:tcPr>
                <w:p w:rsidR="0072097F" w:rsidRPr="003219CB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lang w:eastAsia="pl-PL"/>
                    </w:rPr>
                  </w:pPr>
                  <w:r w:rsidRPr="003219CB">
                    <w:rPr>
                      <w:rFonts w:ascii="Calibri" w:hAnsi="Calibri" w:cs="Calibri"/>
                      <w:b/>
                      <w:color w:val="000000" w:themeColor="text1"/>
                      <w:lang w:eastAsia="pl-PL"/>
                    </w:rPr>
                    <w:t>Modernizacja  metod kształcenia</w:t>
                  </w:r>
                </w:p>
              </w:tc>
            </w:tr>
            <w:tr w:rsidR="0072097F" w:rsidRPr="009358E6" w:rsidTr="003219CB">
              <w:trPr>
                <w:trHeight w:val="269"/>
              </w:trPr>
              <w:tc>
                <w:tcPr>
                  <w:tcW w:w="2487" w:type="dxa"/>
                  <w:vMerge w:val="restart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DCE6F1"/>
                  <w:vAlign w:val="center"/>
                  <w:hideMark/>
                </w:tcPr>
                <w:p w:rsidR="0072097F" w:rsidRPr="006B6D60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4A462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Konfigurowanie urządzeń sieciowych</w:t>
                  </w:r>
                  <w:r w:rsidRPr="00BF6A8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049" w:type="dxa"/>
                  <w:vMerge w:val="restart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DCE6F1"/>
                  <w:vAlign w:val="center"/>
                  <w:hideMark/>
                </w:tcPr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4A462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Modernizacja polega na wprowadzeniu  nowych zagadnień związanych z konfiguracją routerów opartych o system operacyjny  - RouterOS Level4. Wykorzystywane są one w firmach jako urządzenia do zarządzania połączeniami internetowymi. Obecnie te zagadnienia nie są realizowane ze względu na brak takich urządzeń.</w:t>
                  </w: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82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28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2097F" w:rsidRPr="009358E6" w:rsidTr="003219CB">
              <w:trPr>
                <w:trHeight w:val="408"/>
              </w:trPr>
              <w:tc>
                <w:tcPr>
                  <w:tcW w:w="2487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049" w:type="dxa"/>
                  <w:vMerge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vAlign w:val="center"/>
                  <w:hideMark/>
                </w:tcPr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  <w:tbl>
            <w:tblPr>
              <w:tblW w:w="23263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63"/>
            </w:tblGrid>
            <w:tr w:rsidR="0072097F" w:rsidRPr="009358E6" w:rsidTr="00FE02F3">
              <w:trPr>
                <w:trHeight w:val="300"/>
              </w:trPr>
              <w:tc>
                <w:tcPr>
                  <w:tcW w:w="7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97F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tbl>
                  <w:tblPr>
                    <w:tblW w:w="0" w:type="auto"/>
                    <w:tblInd w:w="38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2"/>
                    <w:gridCol w:w="12049"/>
                  </w:tblGrid>
                  <w:tr w:rsidR="0072097F" w:rsidRPr="006B6D60" w:rsidTr="003219CB">
                    <w:trPr>
                      <w:trHeight w:val="1414"/>
                    </w:trPr>
                    <w:tc>
                      <w:tcPr>
                        <w:tcW w:w="2612" w:type="dxa"/>
                        <w:tcBorders>
                          <w:top w:val="single" w:sz="4" w:space="0" w:color="B2B2B2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D8E4BC"/>
                        <w:vAlign w:val="center"/>
                        <w:hideMark/>
                      </w:tcPr>
                      <w:p w:rsidR="0072097F" w:rsidRPr="003219CB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lang w:eastAsia="pl-PL"/>
                          </w:rPr>
                        </w:pPr>
                        <w:r w:rsidRPr="003219CB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lang w:eastAsia="pl-PL"/>
                          </w:rPr>
                          <w:t>Jednostka modułowa programu nauczania</w:t>
                        </w:r>
                      </w:p>
                    </w:tc>
                    <w:tc>
                      <w:tcPr>
                        <w:tcW w:w="12049" w:type="dxa"/>
                        <w:tcBorders>
                          <w:top w:val="single" w:sz="4" w:space="0" w:color="B2B2B2"/>
                          <w:left w:val="nil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D8E4BC"/>
                        <w:noWrap/>
                        <w:vAlign w:val="center"/>
                        <w:hideMark/>
                      </w:tcPr>
                      <w:p w:rsidR="0072097F" w:rsidRPr="003219CB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lang w:eastAsia="pl-PL"/>
                          </w:rPr>
                        </w:pPr>
                        <w:r w:rsidRPr="003219CB">
                          <w:rPr>
                            <w:rFonts w:ascii="Calibri" w:hAnsi="Calibri" w:cs="Calibri"/>
                            <w:b/>
                            <w:lang w:eastAsia="pl-PL"/>
                          </w:rPr>
                          <w:t>Modernizacja  metod kształcenia</w:t>
                        </w:r>
                      </w:p>
                    </w:tc>
                  </w:tr>
                  <w:tr w:rsidR="0072097F" w:rsidRPr="009358E6" w:rsidTr="003219CB">
                    <w:trPr>
                      <w:trHeight w:val="269"/>
                    </w:trPr>
                    <w:tc>
                      <w:tcPr>
                        <w:tcW w:w="2612" w:type="dxa"/>
                        <w:vMerge w:val="restart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DCE6F1"/>
                        <w:vAlign w:val="center"/>
                        <w:hideMark/>
                      </w:tcPr>
                      <w:p w:rsidR="0072097F" w:rsidRPr="006B6D60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  <w:r w:rsidRPr="004A462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  <w:t>Tworzenie witryn internetowych</w:t>
                        </w:r>
                      </w:p>
                    </w:tc>
                    <w:tc>
                      <w:tcPr>
                        <w:tcW w:w="12049" w:type="dxa"/>
                        <w:vMerge w:val="restart"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shd w:val="clear" w:color="000000" w:fill="DCE6F1"/>
                        <w:vAlign w:val="center"/>
                        <w:hideMark/>
                      </w:tcPr>
                      <w:p w:rsidR="0072097F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  <w:r w:rsidRPr="004A462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  <w:t xml:space="preserve">Modernizacja polega na wprowadzeniu nowego oprogramowania dzięki któremu uczniowie będą mogli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  <w:t>realizować swoje projekty we fla</w:t>
                        </w:r>
                        <w:r w:rsidRPr="004A462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  <w:t>shu. Uczniowie będą umieli tworzyć efektowne animacje na strony internetowe pracod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  <w:t>a</w:t>
                        </w:r>
                        <w:r w:rsidRPr="004A462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  <w:t>wców.</w:t>
                        </w:r>
                      </w:p>
                      <w:p w:rsidR="0072097F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Pr="009358E6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Pr="009358E6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Pr="009358E6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Pr="009358E6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72097F" w:rsidRPr="009358E6" w:rsidRDefault="0072097F" w:rsidP="00FE02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82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28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  <w:tr w:rsidR="0072097F" w:rsidRPr="009358E6" w:rsidTr="003219CB">
                    <w:trPr>
                      <w:trHeight w:val="408"/>
                    </w:trPr>
                    <w:tc>
                      <w:tcPr>
                        <w:tcW w:w="2612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49" w:type="dxa"/>
                        <w:vMerge/>
                        <w:tcBorders>
                          <w:top w:val="nil"/>
                          <w:left w:val="single" w:sz="4" w:space="0" w:color="B2B2B2"/>
                          <w:bottom w:val="single" w:sz="4" w:space="0" w:color="B2B2B2"/>
                          <w:right w:val="single" w:sz="4" w:space="0" w:color="B2B2B2"/>
                        </w:tcBorders>
                        <w:vAlign w:val="center"/>
                        <w:hideMark/>
                      </w:tcPr>
                      <w:p w:rsidR="0072097F" w:rsidRPr="009358E6" w:rsidRDefault="0072097F" w:rsidP="00FE02F3">
                        <w:pPr>
                          <w:suppressAutoHyphens w:val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72097F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3219CB" w:rsidRDefault="003219CB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tbl>
                  <w:tblPr>
                    <w:tblpPr w:leftFromText="141" w:rightFromText="141" w:vertAnchor="text" w:horzAnchor="margin" w:tblpX="421" w:tblpY="-111"/>
                    <w:tblOverlap w:val="never"/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962"/>
                    <w:gridCol w:w="9616"/>
                  </w:tblGrid>
                  <w:tr w:rsidR="00BD2FA2" w:rsidTr="003219CB">
                    <w:trPr>
                      <w:trHeight w:val="1304"/>
                    </w:trPr>
                    <w:tc>
                      <w:tcPr>
                        <w:tcW w:w="3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  <w:r>
                          <w:t>Data złożenia diagnozy:</w:t>
                        </w: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</w:tc>
                    <w:tc>
                      <w:tcPr>
                        <w:tcW w:w="96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  <w:r>
                          <w:t>Podpis Dyrektora szkoły:</w:t>
                        </w: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</w:tc>
                  </w:tr>
                  <w:tr w:rsidR="00BD2FA2" w:rsidTr="003219CB">
                    <w:trPr>
                      <w:trHeight w:val="1304"/>
                    </w:trPr>
                    <w:tc>
                      <w:tcPr>
                        <w:tcW w:w="3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  <w:r>
                          <w:t>Data zatwierdzenia diagnozy:</w:t>
                        </w: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</w:tc>
                    <w:tc>
                      <w:tcPr>
                        <w:tcW w:w="96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  <w:r>
                          <w:t>Pieczęć szkoły:</w:t>
                        </w:r>
                      </w:p>
                    </w:tc>
                  </w:tr>
                  <w:tr w:rsidR="00BD2FA2" w:rsidTr="003219CB">
                    <w:trPr>
                      <w:trHeight w:val="794"/>
                    </w:trPr>
                    <w:tc>
                      <w:tcPr>
                        <w:tcW w:w="135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  <w:r>
                          <w:t>Uwagi:</w:t>
                        </w: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  <w:p w:rsidR="00BD2FA2" w:rsidRDefault="00BD2FA2" w:rsidP="009921F9">
                        <w:pPr>
                          <w:widowControl w:val="0"/>
                          <w:kinsoku w:val="0"/>
                          <w:overflowPunct w:val="0"/>
                          <w:spacing w:before="11" w:line="251" w:lineRule="exact"/>
                          <w:textAlignment w:val="baseline"/>
                        </w:pPr>
                      </w:p>
                    </w:tc>
                  </w:tr>
                </w:tbl>
                <w:p w:rsidR="0072097F" w:rsidRPr="009358E6" w:rsidRDefault="0072097F" w:rsidP="00FE02F3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72097F" w:rsidRPr="0072097F" w:rsidRDefault="0072097F" w:rsidP="0072097F">
            <w:pPr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8086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6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1C9" w:rsidRPr="0072097F" w:rsidRDefault="00FF61C9" w:rsidP="00FF6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6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1C9" w:rsidRPr="0072097F" w:rsidRDefault="00FF61C9" w:rsidP="00FF6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CB" w:rsidRPr="0072097F" w:rsidRDefault="003219CB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72097F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72097F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9358E6" w:rsidTr="003219CB">
        <w:trPr>
          <w:trHeight w:val="3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E5" w:rsidRPr="009358E6" w:rsidRDefault="007B4EE5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9358E6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9358E6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9358E6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FF61C9" w:rsidTr="003219CB">
        <w:trPr>
          <w:trHeight w:val="78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560580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9" w:rsidRPr="00FF61C9" w:rsidRDefault="00FF61C9" w:rsidP="00FF6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1C9" w:rsidRPr="00FF61C9" w:rsidRDefault="00FF61C9" w:rsidP="00FF6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FF61C9" w:rsidTr="003219CB">
        <w:trPr>
          <w:trHeight w:val="78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560580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560580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FF61C9" w:rsidTr="003219CB">
        <w:trPr>
          <w:trHeight w:val="180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1C9" w:rsidRPr="00FF61C9" w:rsidRDefault="00FF61C9" w:rsidP="00FF6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FF61C9" w:rsidTr="003219CB">
        <w:trPr>
          <w:trHeight w:val="69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1C9" w:rsidRPr="00FF61C9" w:rsidRDefault="00FF61C9" w:rsidP="00FF6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1C9" w:rsidRPr="00FF61C9" w:rsidRDefault="00FF61C9" w:rsidP="00FF6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FF61C9" w:rsidTr="003219CB">
        <w:trPr>
          <w:trHeight w:val="69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61C9" w:rsidRPr="00FF61C9" w:rsidTr="003219CB">
        <w:trPr>
          <w:trHeight w:val="3040"/>
        </w:trPr>
        <w:tc>
          <w:tcPr>
            <w:tcW w:w="2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C9" w:rsidRPr="00FF61C9" w:rsidRDefault="00FF61C9" w:rsidP="00FF61C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1C9" w:rsidRPr="00FF61C9" w:rsidRDefault="00FF61C9" w:rsidP="00FF61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265198" w:rsidRDefault="00265198" w:rsidP="003219CB">
      <w:pPr>
        <w:widowControl w:val="0"/>
        <w:kinsoku w:val="0"/>
        <w:overflowPunct w:val="0"/>
        <w:spacing w:before="11" w:line="251" w:lineRule="exact"/>
        <w:textAlignment w:val="baseline"/>
      </w:pPr>
    </w:p>
    <w:sectPr w:rsidR="00265198" w:rsidSect="00AC34B0">
      <w:footerReference w:type="default" r:id="rId9"/>
      <w:pgSz w:w="16838" w:h="11906" w:orient="landscape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31" w:rsidRDefault="00104731">
      <w:r>
        <w:separator/>
      </w:r>
    </w:p>
  </w:endnote>
  <w:endnote w:type="continuationSeparator" w:id="0">
    <w:p w:rsidR="00104731" w:rsidRDefault="0010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82o00">
    <w:charset w:val="EE"/>
    <w:family w:val="auto"/>
    <w:pitch w:val="default"/>
  </w:font>
  <w:font w:name="TT85o00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1750"/>
      <w:docPartObj>
        <w:docPartGallery w:val="Page Numbers (Bottom of Page)"/>
        <w:docPartUnique/>
      </w:docPartObj>
    </w:sdtPr>
    <w:sdtEndPr/>
    <w:sdtContent>
      <w:p w:rsidR="00F06B86" w:rsidRDefault="003775B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6B86" w:rsidRDefault="00F06B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31" w:rsidRDefault="00104731">
      <w:r>
        <w:separator/>
      </w:r>
    </w:p>
  </w:footnote>
  <w:footnote w:type="continuationSeparator" w:id="0">
    <w:p w:rsidR="00104731" w:rsidRDefault="0010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4"/>
        </w:tabs>
        <w:ind w:left="0" w:firstLine="0"/>
      </w:pPr>
      <w:rPr>
        <w:rFonts w:ascii="Symbol" w:hAnsi="Symbol" w:cs="Symbol"/>
        <w:i/>
        <w:iCs/>
        <w:sz w:val="19"/>
        <w:szCs w:val="19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44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46074D"/>
    <w:multiLevelType w:val="hybridMultilevel"/>
    <w:tmpl w:val="1D44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F"/>
    <w:rsid w:val="000020C1"/>
    <w:rsid w:val="00051A3B"/>
    <w:rsid w:val="00104731"/>
    <w:rsid w:val="00193545"/>
    <w:rsid w:val="00265198"/>
    <w:rsid w:val="00267DDF"/>
    <w:rsid w:val="003219CB"/>
    <w:rsid w:val="003775BF"/>
    <w:rsid w:val="004A4625"/>
    <w:rsid w:val="004C4A56"/>
    <w:rsid w:val="004F7060"/>
    <w:rsid w:val="00500733"/>
    <w:rsid w:val="00560580"/>
    <w:rsid w:val="0060750E"/>
    <w:rsid w:val="006B6D60"/>
    <w:rsid w:val="0072097F"/>
    <w:rsid w:val="0072402C"/>
    <w:rsid w:val="007242B6"/>
    <w:rsid w:val="007B4EE5"/>
    <w:rsid w:val="007D5F80"/>
    <w:rsid w:val="009358E6"/>
    <w:rsid w:val="009702BF"/>
    <w:rsid w:val="009942A5"/>
    <w:rsid w:val="00A6413E"/>
    <w:rsid w:val="00AC34B0"/>
    <w:rsid w:val="00AF335E"/>
    <w:rsid w:val="00BD2FA2"/>
    <w:rsid w:val="00BF6A85"/>
    <w:rsid w:val="00D057A8"/>
    <w:rsid w:val="00D17D16"/>
    <w:rsid w:val="00D34FEF"/>
    <w:rsid w:val="00D54515"/>
    <w:rsid w:val="00DA4FC1"/>
    <w:rsid w:val="00E1249C"/>
    <w:rsid w:val="00F06B86"/>
    <w:rsid w:val="00F806EE"/>
    <w:rsid w:val="00F97EA2"/>
    <w:rsid w:val="00FA0785"/>
    <w:rsid w:val="00FD34F8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4B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56058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34B0"/>
    <w:rPr>
      <w:rFonts w:ascii="Symbol" w:hAnsi="Symbol" w:cs="Symbol"/>
      <w:i/>
      <w:iCs/>
      <w:sz w:val="19"/>
      <w:szCs w:val="19"/>
    </w:rPr>
  </w:style>
  <w:style w:type="character" w:customStyle="1" w:styleId="WW8Num2z0">
    <w:name w:val="WW8Num2z0"/>
    <w:rsid w:val="00AC34B0"/>
    <w:rPr>
      <w:sz w:val="24"/>
      <w:szCs w:val="24"/>
    </w:rPr>
  </w:style>
  <w:style w:type="character" w:customStyle="1" w:styleId="WW8Num4z0">
    <w:name w:val="WW8Num4z0"/>
    <w:rsid w:val="00AC34B0"/>
    <w:rPr>
      <w:rFonts w:ascii="Symbol" w:hAnsi="Symbol" w:cs="Symbol"/>
      <w:i/>
      <w:iCs/>
      <w:spacing w:val="7"/>
      <w:sz w:val="19"/>
      <w:szCs w:val="19"/>
    </w:rPr>
  </w:style>
  <w:style w:type="character" w:customStyle="1" w:styleId="WW8Num5z0">
    <w:name w:val="WW8Num5z0"/>
    <w:rsid w:val="00AC34B0"/>
    <w:rPr>
      <w:rFonts w:ascii="Symbol" w:hAnsi="Symbol" w:cs="OpenSymbol"/>
    </w:rPr>
  </w:style>
  <w:style w:type="character" w:customStyle="1" w:styleId="WW8Num6z0">
    <w:name w:val="WW8Num6z0"/>
    <w:rsid w:val="00AC34B0"/>
    <w:rPr>
      <w:rFonts w:ascii="Symbol" w:hAnsi="Symbol" w:cs="OpenSymbol"/>
    </w:rPr>
  </w:style>
  <w:style w:type="character" w:customStyle="1" w:styleId="WW8Num3z0">
    <w:name w:val="WW8Num3z0"/>
    <w:rsid w:val="00AC34B0"/>
    <w:rPr>
      <w:rFonts w:ascii="Arial" w:hAnsi="Arial" w:cs="Arial"/>
      <w:i/>
      <w:iCs/>
      <w:sz w:val="20"/>
      <w:szCs w:val="20"/>
    </w:rPr>
  </w:style>
  <w:style w:type="character" w:customStyle="1" w:styleId="Domylnaczcionkaakapitu1">
    <w:name w:val="Domyślna czcionka akapitu1"/>
    <w:rsid w:val="00AC34B0"/>
  </w:style>
  <w:style w:type="character" w:styleId="Numerstrony">
    <w:name w:val="page number"/>
    <w:basedOn w:val="Domylnaczcionkaakapitu1"/>
    <w:rsid w:val="00AC34B0"/>
  </w:style>
  <w:style w:type="character" w:customStyle="1" w:styleId="Bullets">
    <w:name w:val="Bullets"/>
    <w:rsid w:val="00AC34B0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AC34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C34B0"/>
    <w:pPr>
      <w:spacing w:after="120"/>
    </w:pPr>
  </w:style>
  <w:style w:type="paragraph" w:styleId="Lista">
    <w:name w:val="List"/>
    <w:basedOn w:val="Tekstpodstawowy"/>
    <w:rsid w:val="00AC34B0"/>
    <w:rPr>
      <w:rFonts w:cs="Mangal"/>
    </w:rPr>
  </w:style>
  <w:style w:type="paragraph" w:customStyle="1" w:styleId="Legenda1">
    <w:name w:val="Legenda1"/>
    <w:basedOn w:val="Normalny"/>
    <w:rsid w:val="00AC34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AC34B0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C34B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AC34B0"/>
    <w:pPr>
      <w:suppressLineNumbers/>
    </w:pPr>
  </w:style>
  <w:style w:type="paragraph" w:customStyle="1" w:styleId="TableHeading">
    <w:name w:val="Table Heading"/>
    <w:basedOn w:val="TableContents"/>
    <w:rsid w:val="00AC34B0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C34B0"/>
  </w:style>
  <w:style w:type="paragraph" w:styleId="Nagwek">
    <w:name w:val="header"/>
    <w:basedOn w:val="Normalny"/>
    <w:rsid w:val="00AC34B0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uiPriority w:val="99"/>
    <w:rsid w:val="00560580"/>
    <w:rPr>
      <w:b/>
      <w:bCs/>
      <w:sz w:val="36"/>
      <w:szCs w:val="36"/>
    </w:rPr>
  </w:style>
  <w:style w:type="paragraph" w:styleId="Akapitzlist">
    <w:name w:val="List Paragraph"/>
    <w:basedOn w:val="Normalny"/>
    <w:uiPriority w:val="99"/>
    <w:qFormat/>
    <w:rsid w:val="0056058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57A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B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4B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56058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34B0"/>
    <w:rPr>
      <w:rFonts w:ascii="Symbol" w:hAnsi="Symbol" w:cs="Symbol"/>
      <w:i/>
      <w:iCs/>
      <w:sz w:val="19"/>
      <w:szCs w:val="19"/>
    </w:rPr>
  </w:style>
  <w:style w:type="character" w:customStyle="1" w:styleId="WW8Num2z0">
    <w:name w:val="WW8Num2z0"/>
    <w:rsid w:val="00AC34B0"/>
    <w:rPr>
      <w:sz w:val="24"/>
      <w:szCs w:val="24"/>
    </w:rPr>
  </w:style>
  <w:style w:type="character" w:customStyle="1" w:styleId="WW8Num4z0">
    <w:name w:val="WW8Num4z0"/>
    <w:rsid w:val="00AC34B0"/>
    <w:rPr>
      <w:rFonts w:ascii="Symbol" w:hAnsi="Symbol" w:cs="Symbol"/>
      <w:i/>
      <w:iCs/>
      <w:spacing w:val="7"/>
      <w:sz w:val="19"/>
      <w:szCs w:val="19"/>
    </w:rPr>
  </w:style>
  <w:style w:type="character" w:customStyle="1" w:styleId="WW8Num5z0">
    <w:name w:val="WW8Num5z0"/>
    <w:rsid w:val="00AC34B0"/>
    <w:rPr>
      <w:rFonts w:ascii="Symbol" w:hAnsi="Symbol" w:cs="OpenSymbol"/>
    </w:rPr>
  </w:style>
  <w:style w:type="character" w:customStyle="1" w:styleId="WW8Num6z0">
    <w:name w:val="WW8Num6z0"/>
    <w:rsid w:val="00AC34B0"/>
    <w:rPr>
      <w:rFonts w:ascii="Symbol" w:hAnsi="Symbol" w:cs="OpenSymbol"/>
    </w:rPr>
  </w:style>
  <w:style w:type="character" w:customStyle="1" w:styleId="WW8Num3z0">
    <w:name w:val="WW8Num3z0"/>
    <w:rsid w:val="00AC34B0"/>
    <w:rPr>
      <w:rFonts w:ascii="Arial" w:hAnsi="Arial" w:cs="Arial"/>
      <w:i/>
      <w:iCs/>
      <w:sz w:val="20"/>
      <w:szCs w:val="20"/>
    </w:rPr>
  </w:style>
  <w:style w:type="character" w:customStyle="1" w:styleId="Domylnaczcionkaakapitu1">
    <w:name w:val="Domyślna czcionka akapitu1"/>
    <w:rsid w:val="00AC34B0"/>
  </w:style>
  <w:style w:type="character" w:styleId="Numerstrony">
    <w:name w:val="page number"/>
    <w:basedOn w:val="Domylnaczcionkaakapitu1"/>
    <w:rsid w:val="00AC34B0"/>
  </w:style>
  <w:style w:type="character" w:customStyle="1" w:styleId="Bullets">
    <w:name w:val="Bullets"/>
    <w:rsid w:val="00AC34B0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AC34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C34B0"/>
    <w:pPr>
      <w:spacing w:after="120"/>
    </w:pPr>
  </w:style>
  <w:style w:type="paragraph" w:styleId="Lista">
    <w:name w:val="List"/>
    <w:basedOn w:val="Tekstpodstawowy"/>
    <w:rsid w:val="00AC34B0"/>
    <w:rPr>
      <w:rFonts w:cs="Mangal"/>
    </w:rPr>
  </w:style>
  <w:style w:type="paragraph" w:customStyle="1" w:styleId="Legenda1">
    <w:name w:val="Legenda1"/>
    <w:basedOn w:val="Normalny"/>
    <w:rsid w:val="00AC34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AC34B0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C34B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AC34B0"/>
    <w:pPr>
      <w:suppressLineNumbers/>
    </w:pPr>
  </w:style>
  <w:style w:type="paragraph" w:customStyle="1" w:styleId="TableHeading">
    <w:name w:val="Table Heading"/>
    <w:basedOn w:val="TableContents"/>
    <w:rsid w:val="00AC34B0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C34B0"/>
  </w:style>
  <w:style w:type="paragraph" w:styleId="Nagwek">
    <w:name w:val="header"/>
    <w:basedOn w:val="Normalny"/>
    <w:rsid w:val="00AC34B0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uiPriority w:val="99"/>
    <w:rsid w:val="00560580"/>
    <w:rPr>
      <w:b/>
      <w:bCs/>
      <w:sz w:val="36"/>
      <w:szCs w:val="36"/>
    </w:rPr>
  </w:style>
  <w:style w:type="paragraph" w:styleId="Akapitzlist">
    <w:name w:val="List Paragraph"/>
    <w:basedOn w:val="Normalny"/>
    <w:uiPriority w:val="99"/>
    <w:qFormat/>
    <w:rsid w:val="0056058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57A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8270-D816-4222-9C01-5A048106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4799</Words>
  <Characters>28800</Characters>
  <Application>Microsoft Office Word</Application>
  <DocSecurity>4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DIAGNOZA POTRZEB SZKOŁY</vt:lpstr>
    </vt:vector>
  </TitlesOfParts>
  <Company>Hewlett-Packard</Company>
  <LinksUpToDate>false</LinksUpToDate>
  <CharactersWithSpaces>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DIAGNOZA POTRZEB SZKOŁY</dc:title>
  <dc:creator>M.Stempa</dc:creator>
  <cp:lastModifiedBy>Starostwo Braniewo</cp:lastModifiedBy>
  <cp:revision>2</cp:revision>
  <cp:lastPrinted>2016-11-25T05:44:00Z</cp:lastPrinted>
  <dcterms:created xsi:type="dcterms:W3CDTF">2016-11-25T05:45:00Z</dcterms:created>
  <dcterms:modified xsi:type="dcterms:W3CDTF">2016-11-25T05:45:00Z</dcterms:modified>
</cp:coreProperties>
</file>