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b/>
          <w:bCs/>
        </w:rPr>
        <w:t xml:space="preserve">                                                                                        </w:t>
      </w:r>
      <w:r w:rsidRPr="003B2761">
        <w:rPr>
          <w:rFonts w:ascii="Times New Roman" w:hAnsi="Times New Roman" w:cs="Times New Roman"/>
          <w:b/>
          <w:bCs/>
        </w:rPr>
        <w:t xml:space="preserve">Załącznik Nr 3 </w:t>
      </w:r>
      <w:r w:rsidRPr="003B2761">
        <w:rPr>
          <w:rFonts w:ascii="Times New Roman" w:hAnsi="Times New Roman" w:cs="Times New Roman"/>
        </w:rPr>
        <w:t xml:space="preserve">do Uchwały Rady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Powiatu Braniewskiego</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t>
      </w:r>
      <w:r w:rsidR="00EE3F2D">
        <w:rPr>
          <w:rFonts w:ascii="Times New Roman" w:hAnsi="Times New Roman" w:cs="Times New Roman"/>
        </w:rPr>
        <w:t xml:space="preserve">            Nr XXIV/187/17 </w:t>
      </w:r>
      <w:r w:rsidR="003B2761">
        <w:rPr>
          <w:rFonts w:ascii="Times New Roman" w:hAnsi="Times New Roman" w:cs="Times New Roman"/>
        </w:rPr>
        <w:t>z dnia 31 marca</w:t>
      </w:r>
      <w:r w:rsidRPr="003B2761">
        <w:rPr>
          <w:rFonts w:ascii="Times New Roman" w:hAnsi="Times New Roman" w:cs="Times New Roman"/>
        </w:rPr>
        <w:t xml:space="preserve"> 2017 r.</w:t>
      </w:r>
    </w:p>
    <w:p w:rsidR="00D2628E" w:rsidRPr="003B2761" w:rsidRDefault="00D2628E" w:rsidP="00D2628E">
      <w:pPr>
        <w:widowControl w:val="0"/>
        <w:tabs>
          <w:tab w:val="left" w:pos="2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26"/>
        <w:jc w:val="center"/>
        <w:rPr>
          <w:rFonts w:ascii="Times New Roman" w:hAnsi="Times New Roman" w:cs="Times New Roman"/>
          <w:b/>
          <w:bCs/>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3B2761">
        <w:rPr>
          <w:rFonts w:ascii="Times New Roman" w:hAnsi="Times New Roman" w:cs="Times New Roman"/>
          <w:b/>
          <w:bCs/>
        </w:rPr>
        <w:t>OBJAŚNIENIA</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3B2761">
        <w:rPr>
          <w:rFonts w:ascii="Times New Roman" w:hAnsi="Times New Roman" w:cs="Times New Roman"/>
          <w:b/>
          <w:bCs/>
        </w:rPr>
        <w:t>WIELOLETNIA PROGNOZA FINANSOWA</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3B2761">
        <w:rPr>
          <w:rFonts w:ascii="Times New Roman" w:hAnsi="Times New Roman" w:cs="Times New Roman"/>
          <w:b/>
          <w:bCs/>
        </w:rPr>
        <w:t>NA LATA 2017-2025</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Wieloletnia Prognoza Finansowa  jest  dokumentem strategicznym, wieloletnim, stanowiącym podstawę rozwoju samorządu  i zarządzania finansami publicznymi.  Prognoza uwzględnia  zdarzenia które mają lub mogą mieć wpływ na gospodarkę finansową powiatu w perspektywie wykraczającej poza rok budżetowy.</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Budowę Wieloletniej Prognozy finansowej oparto na:</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danych historycznych z okresu ostatnich 3 lat  w zakresie osiągniętych  dochodów, ich struktury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oraz wysokości zrealizowanych wydatków według ich przeznaczenia,</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wiedzy o realizowanych przedsięwzięciach, programach , projektach i zadaniach,</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zawartych umowach kredytowych z ustalonym terminarzem spłat.</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Przy opracowaniu prognozy dochodów i wydatków kierowano się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Wieloletnim Planem Finansowym Państwa na lata 2016-2019 sporządzonym na podstawie ustawy o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finansach publicznych i uchwalonym przez Radę Ministrów w kwietniu 2016 roku obejmujący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program konwergencji oraz cele główne funkcji państwa wraz z miernikami stopnia ich realizacji,</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wytycznymi dotyczącymi założeń makroekonomicznych na potrzeby wieloletnich prognoz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finansowych jednostek samorządu terytorialnego zaktualizowanymi przez Ministerstwo  Finans</w:t>
      </w:r>
      <w:bookmarkStart w:id="0" w:name="_GoBack"/>
      <w:bookmarkEnd w:id="0"/>
      <w:r w:rsidRPr="003B2761">
        <w:rPr>
          <w:rFonts w:ascii="Times New Roman" w:hAnsi="Times New Roman" w:cs="Times New Roman"/>
        </w:rPr>
        <w:t xml:space="preserve">ów   </w:t>
      </w:r>
    </w:p>
    <w:p w:rsidR="003A5629"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zaktualizowanymi w  październiku</w:t>
      </w:r>
      <w:r w:rsidR="00D2628E" w:rsidRPr="003B2761">
        <w:rPr>
          <w:rFonts w:ascii="Times New Roman" w:hAnsi="Times New Roman" w:cs="Times New Roman"/>
        </w:rPr>
        <w:t xml:space="preserve"> 2016 roku,  zawierającymi m.in.  prognozę podstawowych </w:t>
      </w:r>
      <w:r>
        <w:rPr>
          <w:rFonts w:ascii="Times New Roman" w:hAnsi="Times New Roman" w:cs="Times New Roman"/>
        </w:rPr>
        <w:t xml:space="preserve"> </w:t>
      </w:r>
    </w:p>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w:t>
      </w:r>
      <w:r w:rsidR="00D2628E" w:rsidRPr="003B2761">
        <w:rPr>
          <w:rFonts w:ascii="Times New Roman" w:hAnsi="Times New Roman" w:cs="Times New Roman"/>
        </w:rPr>
        <w:t>wskaźników makroe</w:t>
      </w:r>
      <w:r>
        <w:rPr>
          <w:rFonts w:ascii="Times New Roman" w:hAnsi="Times New Roman" w:cs="Times New Roman"/>
        </w:rPr>
        <w:t xml:space="preserve">konomicznych w latach  2015-2020  oraz </w:t>
      </w:r>
      <w:r w:rsidR="00D2628E" w:rsidRPr="003B2761">
        <w:rPr>
          <w:rFonts w:ascii="Times New Roman" w:hAnsi="Times New Roman" w:cs="Times New Roman"/>
        </w:rPr>
        <w:t xml:space="preserve">scenariusz podstawowych wskaźników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t>
      </w:r>
      <w:r w:rsidR="003A5629">
        <w:rPr>
          <w:rFonts w:ascii="Times New Roman" w:hAnsi="Times New Roman" w:cs="Times New Roman"/>
        </w:rPr>
        <w:t>makroekonomicznych w latach 2021</w:t>
      </w:r>
      <w:r w:rsidRPr="003B2761">
        <w:rPr>
          <w:rFonts w:ascii="Times New Roman" w:hAnsi="Times New Roman" w:cs="Times New Roman"/>
        </w:rPr>
        <w:t>-2045 ,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planowanymi źródłami dochodów z uwzględnieniem ich struktury, przyjmując iż  dotychczasowa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struktura kształtowania się poszczególnych źródeł dochodów pozostanie na  niezmienionym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poziomie,</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planowaną wysokością wydatków bieżących na poziomie zabezpieczającym realizację  zadań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powiatu, z równoczesnym przybliżonym zachowaniem dotychczasowej relacji wydatków bieżących</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do dochodów bieżących,</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planowaną wysokością wydatków inwestycyjnych  zapewniających  kontynuację zadań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inwestycyjnych oraz realizację zadań jednorocznych,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poziomem zadłużenia powiatu oraz możliwościami spłaty i obsługi długu.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Wg przyjętych przez budżet państwa założeń w zakresie planu budżetu państwa związanych z finansowaniem jednostek samorządu terytorialnego w 2017 roku oraz założeń na okres spłaty posiadanych i prognozowanych przez Powiat Braniewski zobowiązań mając na uwadze Wieloletni Plan Finansowy Państwa na lata 2016-2019  uchwalony przez Radę Ministrów w kwietniu 2016 roku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realny wzrost PKB  w okresie 2016- 2025 wynosi</w:t>
      </w:r>
    </w:p>
    <w:p w:rsidR="00D2628E" w:rsidRPr="003B2761" w:rsidRDefault="00D2628E" w:rsidP="00D2628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gridCol w:w="1853"/>
      </w:tblGrid>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2019</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2020-2025</w:t>
            </w:r>
          </w:p>
        </w:tc>
      </w:tr>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103,4</w:t>
            </w:r>
            <w:r w:rsidR="00D2628E" w:rsidRPr="003B2761">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103,6</w:t>
            </w:r>
            <w:r w:rsidR="00D2628E" w:rsidRPr="003B2761">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103,8</w:t>
            </w:r>
            <w:r w:rsidR="00D2628E" w:rsidRPr="003B2761">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103,9 </w:t>
            </w:r>
            <w:r w:rsidR="00D2628E" w:rsidRPr="003B2761">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Średnio w okresie 103,4</w:t>
            </w:r>
            <w:r w:rsidR="00D2628E" w:rsidRPr="003B2761">
              <w:rPr>
                <w:rFonts w:ascii="Times New Roman" w:hAnsi="Times New Roman" w:cs="Times New Roman"/>
              </w:rPr>
              <w:t xml:space="preserve"> %</w:t>
            </w:r>
          </w:p>
        </w:tc>
      </w:tr>
    </w:tbl>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3A5629" w:rsidRDefault="003A5629" w:rsidP="003A562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lastRenderedPageBreak/>
        <w:t xml:space="preserve">poziom wzrostu cen towarów i usług konsumpcyjnych  w latach 2016-2025 (poziom inflacji - dynamika średnioroczna) wynosi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2"/>
        <w:gridCol w:w="1842"/>
        <w:gridCol w:w="1853"/>
      </w:tblGrid>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2016</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2017</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2018</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 xml:space="preserve"> 2019</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2020-2025</w:t>
            </w:r>
          </w:p>
        </w:tc>
      </w:tr>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99,5</w:t>
            </w:r>
            <w:r w:rsidR="00D2628E" w:rsidRPr="003B2761">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101,3 %</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101,8 %</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102,2 %</w:t>
            </w:r>
          </w:p>
        </w:tc>
        <w:tc>
          <w:tcPr>
            <w:tcW w:w="1853"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Średnio w okresie 102,5 %</w:t>
            </w:r>
          </w:p>
        </w:tc>
      </w:tr>
    </w:tbl>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c)   stopa bezrobocia rejestrowanego  na koniec roku </w:t>
      </w:r>
    </w:p>
    <w:p w:rsidR="00D2628E" w:rsidRPr="003B2761" w:rsidRDefault="00D2628E" w:rsidP="00D2628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2"/>
        <w:gridCol w:w="1842"/>
      </w:tblGrid>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2016</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2017</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2018</w:t>
            </w:r>
          </w:p>
        </w:tc>
        <w:tc>
          <w:tcPr>
            <w:tcW w:w="1842"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 xml:space="preserve"> 2019</w:t>
            </w:r>
          </w:p>
        </w:tc>
      </w:tr>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8,9</w:t>
            </w:r>
            <w:r w:rsidR="00D2628E" w:rsidRPr="003B2761">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8,0</w:t>
            </w:r>
            <w:r w:rsidR="00D2628E" w:rsidRPr="003B2761">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7,4</w:t>
            </w:r>
            <w:r w:rsidR="00D2628E" w:rsidRPr="003B2761">
              <w:rPr>
                <w:rFonts w:ascii="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6,7</w:t>
            </w:r>
            <w:r w:rsidR="00D2628E" w:rsidRPr="003B2761">
              <w:rPr>
                <w:rFonts w:ascii="Times New Roman" w:hAnsi="Times New Roman" w:cs="Times New Roman"/>
              </w:rPr>
              <w:t xml:space="preserve"> %</w:t>
            </w:r>
          </w:p>
        </w:tc>
      </w:tr>
    </w:tbl>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d)   kurs walutowy PLN/EURO (średni w roku)</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2"/>
        <w:gridCol w:w="1842"/>
      </w:tblGrid>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2016</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2017</w:t>
            </w:r>
          </w:p>
        </w:tc>
        <w:tc>
          <w:tcPr>
            <w:tcW w:w="1842"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2018</w:t>
            </w:r>
          </w:p>
        </w:tc>
        <w:tc>
          <w:tcPr>
            <w:tcW w:w="1842"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 xml:space="preserve"> 2019</w:t>
            </w:r>
          </w:p>
        </w:tc>
      </w:tr>
      <w:tr w:rsidR="00D2628E" w:rsidRPr="003B2761">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4,35</w:t>
            </w:r>
          </w:p>
        </w:tc>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4,29</w:t>
            </w:r>
          </w:p>
        </w:tc>
        <w:tc>
          <w:tcPr>
            <w:tcW w:w="1842" w:type="dxa"/>
            <w:tcBorders>
              <w:top w:val="single" w:sz="4" w:space="0" w:color="auto"/>
              <w:left w:val="single" w:sz="4" w:space="0" w:color="auto"/>
              <w:bottom w:val="single" w:sz="4" w:space="0" w:color="auto"/>
              <w:right w:val="nil"/>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4,22</w:t>
            </w:r>
          </w:p>
        </w:tc>
        <w:tc>
          <w:tcPr>
            <w:tcW w:w="1842" w:type="dxa"/>
            <w:tcBorders>
              <w:top w:val="single" w:sz="4" w:space="0" w:color="auto"/>
              <w:left w:val="single" w:sz="4" w:space="0" w:color="auto"/>
              <w:bottom w:val="single" w:sz="4" w:space="0" w:color="auto"/>
              <w:right w:val="single" w:sz="4" w:space="0" w:color="auto"/>
            </w:tcBorders>
          </w:tcPr>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4,15</w:t>
            </w:r>
          </w:p>
        </w:tc>
      </w:tr>
    </w:tbl>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Realizacja budżetu Powiatu Braniewskiego w latach  2014-2016 na podstawie wykonania przedstawia się jak niżej:</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1984"/>
        <w:gridCol w:w="284"/>
        <w:gridCol w:w="1984"/>
        <w:gridCol w:w="176"/>
        <w:gridCol w:w="2378"/>
      </w:tblGrid>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 xml:space="preserve"> 2014</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2015</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2016</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 xml:space="preserve">Dochody ogółem </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3B2761">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3B2761">
              <w:rPr>
                <w:rFonts w:ascii="Times New Roman" w:hAnsi="Times New Roman" w:cs="Times New Roman"/>
                <w:b/>
                <w:bCs/>
                <w:color w:val="000000"/>
              </w:rPr>
              <w:t>53.643.896,38</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3B276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Pr>
                <w:rFonts w:ascii="Times New Roman" w:hAnsi="Times New Roman" w:cs="Times New Roman"/>
                <w:b/>
                <w:bCs/>
                <w:color w:val="000000"/>
              </w:rPr>
              <w:t>47.219.800,22</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w tym:</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dochody bieżące,</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3B2761">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3B2761">
              <w:rPr>
                <w:rFonts w:ascii="Times New Roman" w:hAnsi="Times New Roman" w:cs="Times New Roman"/>
                <w:b/>
                <w:bCs/>
                <w:color w:val="000000"/>
              </w:rPr>
              <w:t>45.381.292,76</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3B276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Pr>
                <w:rFonts w:ascii="Times New Roman" w:hAnsi="Times New Roman" w:cs="Times New Roman"/>
                <w:b/>
                <w:bCs/>
                <w:color w:val="000000"/>
              </w:rPr>
              <w:t>45.536.578,24</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z tego:</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color w:val="000000"/>
              </w:rPr>
              <w:t>a) dochody</w:t>
            </w:r>
            <w:r w:rsidRPr="003B2761">
              <w:rPr>
                <w:rFonts w:ascii="Times New Roman" w:hAnsi="Times New Roman" w:cs="Times New Roman"/>
                <w:b/>
                <w:bCs/>
                <w:color w:val="000000"/>
              </w:rPr>
              <w:t xml:space="preserve"> własne </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10.764.532,76</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3B276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11.622.711,66</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D2628E" w:rsidRPr="003B2761">
        <w:trPr>
          <w:gridAfter w:val="3"/>
          <w:wAfter w:w="4538" w:type="dxa"/>
        </w:trPr>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w tym:</w:t>
            </w:r>
          </w:p>
        </w:tc>
        <w:tc>
          <w:tcPr>
            <w:tcW w:w="2268" w:type="dxa"/>
            <w:gridSpan w:val="2"/>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udziały w podatku dochodowym od osób fizycznych</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4.927.848,00</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5.453.574,00</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3B2761" w:rsidP="003B2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Pr>
                <w:rFonts w:ascii="Times New Roman" w:hAnsi="Times New Roman" w:cs="Times New Roman"/>
                <w:color w:val="000000"/>
              </w:rPr>
              <w:t xml:space="preserve">                    6.070.407,00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udziały w podatku dochodowym od osób prawnych</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124.192,56</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3B276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Pr>
                <w:rFonts w:ascii="Times New Roman" w:hAnsi="Times New Roman" w:cs="Times New Roman"/>
                <w:color w:val="000000"/>
              </w:rPr>
              <w:t>120.302,11</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color w:val="000000"/>
              </w:rPr>
              <w:t>b)</w:t>
            </w:r>
            <w:r w:rsidRPr="003B2761">
              <w:rPr>
                <w:rFonts w:ascii="Times New Roman" w:hAnsi="Times New Roman" w:cs="Times New Roman"/>
                <w:b/>
                <w:bCs/>
                <w:color w:val="000000"/>
              </w:rPr>
              <w:t xml:space="preserve"> subwencje</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 xml:space="preserve">     25.050.691,00</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3B276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Pr>
                <w:rFonts w:ascii="Times New Roman" w:hAnsi="Times New Roman" w:cs="Times New Roman"/>
                <w:color w:val="000000"/>
              </w:rPr>
              <w:t xml:space="preserve">                24.477.314,00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color w:val="000000"/>
              </w:rPr>
              <w:t xml:space="preserve">c) </w:t>
            </w:r>
            <w:r w:rsidRPr="003B2761">
              <w:rPr>
                <w:rFonts w:ascii="Times New Roman" w:hAnsi="Times New Roman" w:cs="Times New Roman"/>
                <w:b/>
                <w:bCs/>
                <w:color w:val="000000"/>
              </w:rPr>
              <w:t xml:space="preserve">dotacje </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3B2761">
              <w:rPr>
                <w:rFonts w:ascii="Times New Roman" w:hAnsi="Times New Roman" w:cs="Times New Roman"/>
                <w:color w:val="000000"/>
              </w:rPr>
              <w:t xml:space="preserve">    10.759.093,69</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3B2761">
              <w:rPr>
                <w:rFonts w:ascii="Times New Roman" w:hAnsi="Times New Roman" w:cs="Times New Roman"/>
                <w:color w:val="000000"/>
              </w:rPr>
              <w:t xml:space="preserve">           9.648.241,36</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3B27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3B2761">
              <w:rPr>
                <w:rFonts w:ascii="Times New Roman" w:hAnsi="Times New Roman" w:cs="Times New Roman"/>
                <w:color w:val="000000"/>
              </w:rPr>
              <w:t xml:space="preserve">           </w:t>
            </w:r>
            <w:r w:rsidR="003B2761">
              <w:rPr>
                <w:rFonts w:ascii="Times New Roman" w:hAnsi="Times New Roman" w:cs="Times New Roman"/>
                <w:color w:val="000000"/>
              </w:rPr>
              <w:t xml:space="preserve">  </w:t>
            </w:r>
            <w:r w:rsidRPr="003B2761">
              <w:rPr>
                <w:rFonts w:ascii="Times New Roman" w:hAnsi="Times New Roman" w:cs="Times New Roman"/>
                <w:color w:val="000000"/>
              </w:rPr>
              <w:t xml:space="preserve">      </w:t>
            </w:r>
            <w:r w:rsidR="003B2761">
              <w:rPr>
                <w:rFonts w:ascii="Times New Roman" w:hAnsi="Times New Roman" w:cs="Times New Roman"/>
                <w:color w:val="000000"/>
              </w:rPr>
              <w:t>9.436.552,58</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w tym:</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zadania z zakresu administracji rządowej</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7.129.200,53</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w:t>
            </w:r>
            <w:r w:rsidR="003B2761">
              <w:rPr>
                <w:rFonts w:ascii="Times New Roman" w:hAnsi="Times New Roman" w:cs="Times New Roman"/>
                <w:color w:val="000000"/>
              </w:rPr>
              <w:t xml:space="preserve">                   7.480.365,60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dochody majątkowe,</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3B2761">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 xml:space="preserve">       8.262.603,62</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8A0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 xml:space="preserve">           </w:t>
            </w:r>
            <w:r w:rsidR="003B2761">
              <w:rPr>
                <w:rFonts w:ascii="Times New Roman" w:hAnsi="Times New Roman" w:cs="Times New Roman"/>
                <w:b/>
                <w:bCs/>
                <w:color w:val="000000"/>
              </w:rPr>
              <w:t xml:space="preserve"> 1.683.221,98</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w tym:</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z tytułu sprzedaży </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82.173,36</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8A042A" w:rsidP="008A0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Pr>
                <w:rFonts w:ascii="Times New Roman" w:hAnsi="Times New Roman" w:cs="Times New Roman"/>
                <w:color w:val="000000"/>
              </w:rPr>
              <w:t xml:space="preserve">  </w:t>
            </w:r>
            <w:r w:rsidR="003B2761">
              <w:rPr>
                <w:rFonts w:ascii="Times New Roman" w:hAnsi="Times New Roman" w:cs="Times New Roman"/>
                <w:color w:val="000000"/>
              </w:rPr>
              <w:t xml:space="preserve"> 75.120,60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Dotacje i środki na zadania inwestycyjne</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8.180.430,26</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p>
          <w:p w:rsidR="00D2628E" w:rsidRPr="003B2761" w:rsidRDefault="008A042A" w:rsidP="008A04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Pr>
                <w:rFonts w:ascii="Times New Roman" w:hAnsi="Times New Roman" w:cs="Times New Roman"/>
                <w:color w:val="000000"/>
              </w:rPr>
              <w:t>1.608.101,38</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w tym na zadania z zakresu adm. rządowej</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49.990,00</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Środki na inwestycje z subwencji </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0</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Wydatki ogółem</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54.333.339,24</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Pr>
                <w:rFonts w:ascii="Times New Roman" w:hAnsi="Times New Roman" w:cs="Times New Roman"/>
                <w:b/>
                <w:bCs/>
                <w:color w:val="000000"/>
              </w:rPr>
              <w:t>45.594.671,40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w tym:</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 xml:space="preserve">wydatki bieżące, </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42.580.716,32</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Pr>
                <w:rFonts w:ascii="Times New Roman" w:hAnsi="Times New Roman" w:cs="Times New Roman"/>
                <w:b/>
                <w:bCs/>
                <w:color w:val="000000"/>
              </w:rPr>
              <w:t>42.105.922,10</w:t>
            </w:r>
          </w:p>
        </w:tc>
      </w:tr>
      <w:tr w:rsidR="00D2628E" w:rsidRPr="003B2761">
        <w:trPr>
          <w:gridAfter w:val="1"/>
          <w:wAfter w:w="2378" w:type="dxa"/>
        </w:trPr>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z tego:</w:t>
            </w:r>
          </w:p>
        </w:tc>
        <w:tc>
          <w:tcPr>
            <w:tcW w:w="4428" w:type="dxa"/>
            <w:gridSpan w:val="4"/>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FFFFFF"/>
              </w:rPr>
            </w:pP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a) wynagrodzenia i </w:t>
            </w:r>
            <w:r w:rsidRPr="003B2761">
              <w:rPr>
                <w:rFonts w:ascii="Times New Roman" w:hAnsi="Times New Roman" w:cs="Times New Roman"/>
                <w:color w:val="000000"/>
              </w:rPr>
              <w:lastRenderedPageBreak/>
              <w:t>pochodne</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lastRenderedPageBreak/>
              <w:t>25.378.979,98</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3B2761">
              <w:rPr>
                <w:rFonts w:ascii="Times New Roman" w:hAnsi="Times New Roman" w:cs="Times New Roman"/>
                <w:color w:val="000000"/>
              </w:rPr>
              <w:t>26.248.463,43</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Pr>
                <w:rFonts w:ascii="Times New Roman" w:hAnsi="Times New Roman" w:cs="Times New Roman"/>
                <w:color w:val="000000"/>
              </w:rPr>
              <w:t>26.147.136,07</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lastRenderedPageBreak/>
              <w:t>b) koszty obsługi długu – odsetki</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 xml:space="preserve">             209.519,39</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Pr>
                <w:rFonts w:ascii="Times New Roman" w:hAnsi="Times New Roman" w:cs="Times New Roman"/>
                <w:color w:val="000000"/>
              </w:rPr>
              <w:t xml:space="preserve">                199.087,44</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3B2761">
              <w:rPr>
                <w:rFonts w:ascii="Times New Roman" w:hAnsi="Times New Roman" w:cs="Times New Roman"/>
                <w:color w:val="000000"/>
              </w:rPr>
              <w:t>c) zrealizowane poręczenia</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0</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3B2761">
              <w:rPr>
                <w:rFonts w:ascii="Times New Roman" w:hAnsi="Times New Roman" w:cs="Times New Roman"/>
                <w:color w:val="000000"/>
              </w:rPr>
              <w:t>0</w:t>
            </w:r>
          </w:p>
        </w:tc>
      </w:tr>
      <w:tr w:rsidR="00D2628E" w:rsidRPr="003B2761">
        <w:tc>
          <w:tcPr>
            <w:tcW w:w="2550"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3B2761">
              <w:rPr>
                <w:rFonts w:ascii="Times New Roman" w:hAnsi="Times New Roman" w:cs="Times New Roman"/>
                <w:b/>
                <w:bCs/>
                <w:color w:val="000000"/>
              </w:rPr>
              <w:t>Wydatki majątkowe</w:t>
            </w:r>
          </w:p>
        </w:tc>
        <w:tc>
          <w:tcPr>
            <w:tcW w:w="1984"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3B2761">
              <w:rPr>
                <w:rFonts w:ascii="Times New Roman" w:hAnsi="Times New Roman" w:cs="Times New Roman"/>
                <w:b/>
                <w:bCs/>
                <w:color w:val="000000"/>
              </w:rPr>
              <w:t>11.752.622,92</w:t>
            </w:r>
          </w:p>
        </w:tc>
        <w:tc>
          <w:tcPr>
            <w:tcW w:w="2554" w:type="dxa"/>
            <w:gridSpan w:val="2"/>
            <w:tcBorders>
              <w:top w:val="single" w:sz="4" w:space="0" w:color="auto"/>
              <w:left w:val="single" w:sz="4" w:space="0" w:color="auto"/>
              <w:bottom w:val="single" w:sz="4" w:space="0" w:color="auto"/>
              <w:right w:val="single" w:sz="4" w:space="0" w:color="auto"/>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Pr>
                <w:rFonts w:ascii="Times New Roman" w:hAnsi="Times New Roman" w:cs="Times New Roman"/>
                <w:b/>
                <w:bCs/>
                <w:color w:val="000000"/>
              </w:rPr>
              <w:t>3.488.749,30</w:t>
            </w:r>
          </w:p>
        </w:tc>
      </w:tr>
    </w:tbl>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3B2761">
        <w:rPr>
          <w:rFonts w:ascii="Times New Roman" w:hAnsi="Times New Roman" w:cs="Times New Roman"/>
          <w:b/>
          <w:bCs/>
        </w:rPr>
        <w:t>PROGNOZA DOCHODÓW</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Przy prognozowaniu dochodów istotne znaczenie posiada ich struktura.</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Analiza podstawowych grup dochodów budżetowych wskazuje wysokie uzależnienie dochodów powiatu od budżetu państwa.</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Główne pozycje dochodów bieżących – subwencja ogólna i dotacje celowe na zadania bieżące  na przestrzeni lat 2014-2016 średniorocznie stanowią c-ca 79-80 % średniorocznych dochodów bieżących.</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Dochody własne na przestrzeni ww. okresu stanowią 20 - 21 % średniorocznych dochodów bieżących.</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Głównym źródłem tych dochodów są udziały w podatku dochodowym od osób fizycznych i od osób prawnych, które stanowią 51-52 % dochodów własnych.  Wielkość tych dochodów uzależniona jest od koniunktury gospodarczej kraju.</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Niski udział pozostałych dochodów własnych w strukturze dochodów bieżących znacznie ogranicza działalność powiatu, w tym swobodę w finansowaniu zadań.</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Prognozowane dochody powiatu w latach 2017- 2019 obejmują:</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b/>
          <w:bCs/>
        </w:rPr>
        <w:t xml:space="preserve">a) </w:t>
      </w:r>
      <w:r w:rsidRPr="003B2761">
        <w:rPr>
          <w:rFonts w:ascii="Times New Roman" w:hAnsi="Times New Roman" w:cs="Times New Roman"/>
        </w:rPr>
        <w:t xml:space="preserve">dochody bieżące </w:t>
      </w:r>
    </w:p>
    <w:p w:rsidR="00D2628E" w:rsidRPr="003B2761" w:rsidRDefault="00D2628E" w:rsidP="00D2628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D2628E" w:rsidRPr="003B2761">
        <w:tc>
          <w:tcPr>
            <w:tcW w:w="2058"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2017</w:t>
            </w:r>
          </w:p>
        </w:tc>
        <w:tc>
          <w:tcPr>
            <w:tcW w:w="2059" w:type="dxa"/>
            <w:tcBorders>
              <w:top w:val="single" w:sz="4" w:space="0" w:color="auto"/>
              <w:left w:val="single" w:sz="4" w:space="0" w:color="auto"/>
              <w:bottom w:val="single" w:sz="4" w:space="0" w:color="auto"/>
              <w:right w:val="nil"/>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2018</w:t>
            </w:r>
          </w:p>
        </w:tc>
        <w:tc>
          <w:tcPr>
            <w:tcW w:w="2069"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2019</w:t>
            </w:r>
          </w:p>
        </w:tc>
      </w:tr>
      <w:tr w:rsidR="00D2628E" w:rsidRPr="003B2761">
        <w:tc>
          <w:tcPr>
            <w:tcW w:w="2058" w:type="dxa"/>
            <w:tcBorders>
              <w:top w:val="single" w:sz="4" w:space="0" w:color="auto"/>
              <w:left w:val="single" w:sz="4" w:space="0" w:color="auto"/>
              <w:bottom w:val="single" w:sz="4" w:space="0" w:color="auto"/>
              <w:right w:val="nil"/>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46.595.061</w:t>
            </w:r>
          </w:p>
        </w:tc>
        <w:tc>
          <w:tcPr>
            <w:tcW w:w="2059" w:type="dxa"/>
            <w:tcBorders>
              <w:top w:val="single" w:sz="4" w:space="0" w:color="auto"/>
              <w:left w:val="single" w:sz="4" w:space="0" w:color="auto"/>
              <w:bottom w:val="single" w:sz="4" w:space="0" w:color="auto"/>
              <w:right w:val="nil"/>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49.289.330</w:t>
            </w:r>
          </w:p>
        </w:tc>
        <w:tc>
          <w:tcPr>
            <w:tcW w:w="2069" w:type="dxa"/>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48.950.000</w:t>
            </w:r>
          </w:p>
        </w:tc>
      </w:tr>
      <w:tr w:rsidR="00D2628E" w:rsidRPr="003B2761">
        <w:tc>
          <w:tcPr>
            <w:tcW w:w="6186" w:type="dxa"/>
            <w:gridSpan w:val="3"/>
            <w:tcBorders>
              <w:top w:val="single" w:sz="4" w:space="0" w:color="auto"/>
              <w:left w:val="single" w:sz="4" w:space="0" w:color="auto"/>
              <w:bottom w:val="single" w:sz="4" w:space="0" w:color="auto"/>
              <w:right w:val="single" w:sz="4" w:space="0" w:color="auto"/>
            </w:tcBorders>
          </w:tcPr>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3B2761">
              <w:rPr>
                <w:rFonts w:ascii="Times New Roman" w:hAnsi="Times New Roman" w:cs="Times New Roman"/>
              </w:rPr>
              <w:t>dynamika w stosunku do roku poprzedniego</w:t>
            </w:r>
          </w:p>
        </w:tc>
      </w:tr>
      <w:tr w:rsidR="00D2628E" w:rsidRPr="003B2761">
        <w:tc>
          <w:tcPr>
            <w:tcW w:w="2058" w:type="dxa"/>
            <w:tcBorders>
              <w:top w:val="single" w:sz="4" w:space="0" w:color="auto"/>
              <w:left w:val="single" w:sz="4" w:space="0" w:color="auto"/>
              <w:bottom w:val="single" w:sz="4" w:space="0" w:color="auto"/>
              <w:right w:val="nil"/>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102,3 </w:t>
            </w:r>
            <w:r w:rsidR="00D2628E" w:rsidRPr="003B2761">
              <w:rPr>
                <w:rFonts w:ascii="Times New Roman" w:hAnsi="Times New Roman" w:cs="Times New Roman"/>
              </w:rPr>
              <w:t xml:space="preserve"> %</w:t>
            </w:r>
          </w:p>
        </w:tc>
        <w:tc>
          <w:tcPr>
            <w:tcW w:w="2059" w:type="dxa"/>
            <w:tcBorders>
              <w:top w:val="single" w:sz="4" w:space="0" w:color="auto"/>
              <w:left w:val="single" w:sz="4" w:space="0" w:color="auto"/>
              <w:bottom w:val="single" w:sz="4" w:space="0" w:color="auto"/>
              <w:right w:val="nil"/>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105,7</w:t>
            </w:r>
            <w:r w:rsidR="00D2628E" w:rsidRPr="003B2761">
              <w:rPr>
                <w:rFonts w:ascii="Times New Roman" w:hAnsi="Times New Roman" w:cs="Times New Roman"/>
              </w:rPr>
              <w:t xml:space="preserve"> %</w:t>
            </w:r>
          </w:p>
        </w:tc>
        <w:tc>
          <w:tcPr>
            <w:tcW w:w="2069" w:type="dxa"/>
            <w:tcBorders>
              <w:top w:val="single" w:sz="4" w:space="0" w:color="auto"/>
              <w:left w:val="single" w:sz="4" w:space="0" w:color="auto"/>
              <w:bottom w:val="single" w:sz="4" w:space="0" w:color="auto"/>
              <w:right w:val="single" w:sz="4" w:space="0" w:color="auto"/>
            </w:tcBorders>
          </w:tcPr>
          <w:p w:rsidR="00D2628E" w:rsidRPr="003B2761"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99,3 </w:t>
            </w:r>
            <w:r w:rsidR="00D2628E" w:rsidRPr="003B2761">
              <w:rPr>
                <w:rFonts w:ascii="Times New Roman" w:hAnsi="Times New Roman" w:cs="Times New Roman"/>
              </w:rPr>
              <w:t xml:space="preserve"> %</w:t>
            </w:r>
          </w:p>
        </w:tc>
      </w:tr>
    </w:tbl>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Planowane dochody bieżące na rok 2017 w zakresie:</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dotacji z budżetu państwa na zadania własne powiatu oraz zadania z zakresu administracji rządowej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ustalono na podstawie decyzji Wojewody Warmińsko- Mazurskiego,</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subwencji oraz udziałów w podatku dochodowym od osób fizycznych ustalono na  podstawie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informacji otrzymanej z Ministerstwa  Finansów,</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pozostałe dotacje oraz  pozostałe dochody własne  szacowano na  podstawie zawartych umów i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porozumień oraz biorąc pod uwagę możliwości pozyskania dochodów własnych.</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Prognozę na lata 2018-2025 oparto na danych historycznych oraz prognozie przygotowanej przez Ministerstwo Finansów.</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Prognozowane wpływy udziałów</w:t>
      </w:r>
      <w:r w:rsidRPr="003B2761">
        <w:rPr>
          <w:rFonts w:ascii="Times New Roman" w:hAnsi="Times New Roman" w:cs="Times New Roman"/>
          <w:color w:val="FF0000"/>
        </w:rPr>
        <w:t xml:space="preserve"> </w:t>
      </w:r>
      <w:r w:rsidRPr="003B2761">
        <w:rPr>
          <w:rFonts w:ascii="Times New Roman" w:hAnsi="Times New Roman" w:cs="Times New Roman"/>
        </w:rPr>
        <w:t xml:space="preserve">z tytułu podatku dochodowego w budżecie w 2017  roku : </w:t>
      </w:r>
    </w:p>
    <w:p w:rsidR="003A5629"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od osób fizycznych -  wg informacji uzyskanej z Ministerstwa Finansów udziały w podatku </w:t>
      </w:r>
      <w:r w:rsidR="003A5629">
        <w:rPr>
          <w:rFonts w:ascii="Times New Roman" w:hAnsi="Times New Roman" w:cs="Times New Roman"/>
        </w:rPr>
        <w:t xml:space="preserve"> </w:t>
      </w:r>
    </w:p>
    <w:p w:rsidR="00D2628E" w:rsidRPr="003B2761"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w:t>
      </w:r>
      <w:r w:rsidR="00D2628E" w:rsidRPr="003B2761">
        <w:rPr>
          <w:rFonts w:ascii="Times New Roman" w:hAnsi="Times New Roman" w:cs="Times New Roman"/>
        </w:rPr>
        <w:t xml:space="preserve">dochodowym dla Powiatu Braniewskiego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od osób prawnych  -  przewiduje się </w:t>
      </w:r>
      <w:r w:rsidR="003A5629">
        <w:rPr>
          <w:rFonts w:ascii="Times New Roman" w:hAnsi="Times New Roman" w:cs="Times New Roman"/>
        </w:rPr>
        <w:t>wzrost</w:t>
      </w:r>
      <w:r w:rsidRPr="003B2761">
        <w:rPr>
          <w:rFonts w:ascii="Times New Roman" w:hAnsi="Times New Roman" w:cs="Times New Roman"/>
        </w:rPr>
        <w:t xml:space="preserve"> dochodów </w:t>
      </w:r>
      <w:r w:rsidR="003A5629">
        <w:rPr>
          <w:rFonts w:ascii="Times New Roman" w:hAnsi="Times New Roman" w:cs="Times New Roman"/>
        </w:rPr>
        <w:t>o c-ca 50.000 zł</w:t>
      </w:r>
      <w:r w:rsidRPr="003B2761">
        <w:rPr>
          <w:rFonts w:ascii="Times New Roman" w:hAnsi="Times New Roman" w:cs="Times New Roman"/>
        </w:rPr>
        <w:t>.</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W okresie 2018 – 2025 planuje się utrzymanie dynamiki tych dochodów  - średnioroczny wzrost:</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udziałów w podatku dochodowym od osób fizycznych na poziomie 104% w stosunku do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przewidywanego wykonania roku poprzedniego,</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udziałów w podatku dochodowym od osób prawnych na poziomie 106,5 w stosunku do  wykonania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lastRenderedPageBreak/>
        <w:t xml:space="preserve">   roku  poprzedniego.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Według zaktualizowanego Wieloletniego Planu Finansowego Państwa sytuacja makroekonomiczna kraju będzie ulegała systematycznej poprawie poprzez:</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dalszy wzrost gospodarczy,</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systematyczne zmniejszenie bezrobocia a tym samym wzrost podaży pracy,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 xml:space="preserve">- wzrost przeciętnego wynagrodzenia w gospodarce narodowej oraz wzrost  emerytur i rent, </w:t>
      </w:r>
    </w:p>
    <w:p w:rsidR="00D2628E" w:rsidRPr="003B276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3B2761">
        <w:rPr>
          <w:rFonts w:ascii="Times New Roman" w:hAnsi="Times New Roman" w:cs="Times New Roman"/>
        </w:rPr>
        <w:t>Subwencja ogólna, która stanowi średniorocznie c-ca 50 % osiąganych przez powiat dochodów, w</w:t>
      </w:r>
      <w:r w:rsidRPr="00D2628E">
        <w:rPr>
          <w:rFonts w:ascii="Times New Roman" w:hAnsi="Times New Roman" w:cs="Times New Roman"/>
        </w:rPr>
        <w:t xml:space="preserve"> 2017 roku została przyjęta na poziomie ustalonym przez Ministra Finansów.</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 okresie 2018 - 2025 planuje się średnioroczny wzrost tej grupy dochodów o 1 % w stosunku do wykonania roku poprzedniego.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Dotacje celowe z budżetu państwa na zadania bieżące z zakresu administracji rządowej stanowią średnio 15 % osiąganych dochodów bieżących. W 2017 roku powiat otrzyma dotacje na te zadania w wysokości </w:t>
      </w:r>
      <w:r w:rsidR="008A042A">
        <w:rPr>
          <w:rFonts w:ascii="Times New Roman" w:hAnsi="Times New Roman" w:cs="Times New Roman"/>
          <w:color w:val="000000"/>
        </w:rPr>
        <w:t>7.602.933</w:t>
      </w:r>
      <w:r w:rsidRPr="00D2628E">
        <w:rPr>
          <w:rFonts w:ascii="Times New Roman" w:hAnsi="Times New Roman" w:cs="Times New Roman"/>
          <w:color w:val="000000"/>
        </w:rPr>
        <w:t xml:space="preserve"> </w:t>
      </w:r>
      <w:r w:rsidRPr="00D2628E">
        <w:rPr>
          <w:rFonts w:ascii="Times New Roman" w:hAnsi="Times New Roman" w:cs="Times New Roman"/>
        </w:rPr>
        <w:t>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 okresie 2018 - 2025 planuje się średnioroczny wzrost o 1 % w stosunku do wykonania roku poprzedniego.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r w:rsidRPr="00D2628E">
        <w:rPr>
          <w:rFonts w:ascii="Times New Roman" w:hAnsi="Times New Roman" w:cs="Times New Roman"/>
          <w:b/>
          <w:bCs/>
        </w:rPr>
        <w:t>b)</w:t>
      </w:r>
      <w:r w:rsidRPr="00D2628E">
        <w:rPr>
          <w:rFonts w:ascii="Times New Roman" w:hAnsi="Times New Roman" w:cs="Times New Roman"/>
        </w:rPr>
        <w:t xml:space="preserve"> dochody majątkowe:</w:t>
      </w:r>
    </w:p>
    <w:p w:rsidR="00D2628E" w:rsidRPr="00D2628E" w:rsidRDefault="00D2628E" w:rsidP="00D2628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D2628E" w:rsidRPr="00D2628E">
        <w:tc>
          <w:tcPr>
            <w:tcW w:w="2107"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2017</w:t>
            </w:r>
          </w:p>
        </w:tc>
        <w:tc>
          <w:tcPr>
            <w:tcW w:w="2107"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2018</w:t>
            </w:r>
          </w:p>
        </w:tc>
        <w:tc>
          <w:tcPr>
            <w:tcW w:w="2115"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2019</w:t>
            </w:r>
          </w:p>
        </w:tc>
      </w:tr>
      <w:tr w:rsidR="00D2628E" w:rsidRPr="00D2628E">
        <w:tc>
          <w:tcPr>
            <w:tcW w:w="2107" w:type="dxa"/>
            <w:tcBorders>
              <w:top w:val="single" w:sz="4" w:space="0" w:color="auto"/>
              <w:left w:val="single" w:sz="4" w:space="0" w:color="auto"/>
              <w:bottom w:val="single" w:sz="4" w:space="0" w:color="auto"/>
              <w:right w:val="nil"/>
            </w:tcBorders>
          </w:tcPr>
          <w:p w:rsidR="00D2628E" w:rsidRPr="00D2628E"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3.142.053</w:t>
            </w:r>
          </w:p>
        </w:tc>
        <w:tc>
          <w:tcPr>
            <w:tcW w:w="2107" w:type="dxa"/>
            <w:tcBorders>
              <w:top w:val="single" w:sz="4" w:space="0" w:color="auto"/>
              <w:left w:val="single" w:sz="4" w:space="0" w:color="auto"/>
              <w:bottom w:val="single" w:sz="4" w:space="0" w:color="auto"/>
              <w:right w:val="nil"/>
            </w:tcBorders>
          </w:tcPr>
          <w:p w:rsidR="00D2628E" w:rsidRPr="00D2628E"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11.245.342</w:t>
            </w:r>
          </w:p>
        </w:tc>
        <w:tc>
          <w:tcPr>
            <w:tcW w:w="2115"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3.600.000</w:t>
            </w:r>
          </w:p>
        </w:tc>
      </w:tr>
      <w:tr w:rsidR="00D2628E" w:rsidRPr="00D2628E">
        <w:tc>
          <w:tcPr>
            <w:tcW w:w="6329" w:type="dxa"/>
            <w:gridSpan w:val="3"/>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dynamika w stosunku do roku poprzedniego</w:t>
            </w:r>
          </w:p>
        </w:tc>
      </w:tr>
      <w:tr w:rsidR="00D2628E" w:rsidRPr="00D2628E">
        <w:tc>
          <w:tcPr>
            <w:tcW w:w="2107" w:type="dxa"/>
            <w:tcBorders>
              <w:top w:val="single" w:sz="4" w:space="0" w:color="auto"/>
              <w:left w:val="single" w:sz="4" w:space="0" w:color="auto"/>
              <w:bottom w:val="single" w:sz="4" w:space="0" w:color="auto"/>
              <w:right w:val="single" w:sz="4" w:space="0" w:color="auto"/>
            </w:tcBorders>
          </w:tcPr>
          <w:p w:rsidR="00D2628E" w:rsidRPr="00D2628E"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186,7</w:t>
            </w:r>
            <w:r w:rsidR="00D2628E" w:rsidRPr="00D2628E">
              <w:rPr>
                <w:rFonts w:ascii="Times New Roman" w:hAnsi="Times New Roman" w:cs="Times New Roman"/>
              </w:rPr>
              <w:t xml:space="preserve">  %</w:t>
            </w:r>
          </w:p>
        </w:tc>
        <w:tc>
          <w:tcPr>
            <w:tcW w:w="2107" w:type="dxa"/>
            <w:tcBorders>
              <w:top w:val="single" w:sz="4" w:space="0" w:color="auto"/>
              <w:left w:val="single" w:sz="4" w:space="0" w:color="auto"/>
              <w:bottom w:val="single" w:sz="4" w:space="0" w:color="auto"/>
              <w:right w:val="single" w:sz="4" w:space="0" w:color="auto"/>
            </w:tcBorders>
          </w:tcPr>
          <w:p w:rsidR="00D2628E" w:rsidRPr="00D2628E"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357,9</w:t>
            </w:r>
            <w:r w:rsidR="00D2628E" w:rsidRPr="00D2628E">
              <w:rPr>
                <w:rFonts w:ascii="Times New Roman" w:hAnsi="Times New Roman" w:cs="Times New Roman"/>
              </w:rPr>
              <w:t xml:space="preserve">  %</w:t>
            </w:r>
          </w:p>
        </w:tc>
        <w:tc>
          <w:tcPr>
            <w:tcW w:w="2115" w:type="dxa"/>
            <w:tcBorders>
              <w:top w:val="single" w:sz="4" w:space="0" w:color="auto"/>
              <w:left w:val="single" w:sz="4" w:space="0" w:color="auto"/>
              <w:bottom w:val="single" w:sz="4" w:space="0" w:color="auto"/>
              <w:right w:val="single" w:sz="4" w:space="0" w:color="auto"/>
            </w:tcBorders>
          </w:tcPr>
          <w:p w:rsidR="00D2628E" w:rsidRPr="00D2628E" w:rsidRDefault="008A042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32,1</w:t>
            </w:r>
            <w:r w:rsidR="00D2628E" w:rsidRPr="00D2628E">
              <w:rPr>
                <w:rFonts w:ascii="Times New Roman" w:hAnsi="Times New Roman" w:cs="Times New Roman"/>
              </w:rPr>
              <w:t xml:space="preserve"> %</w:t>
            </w:r>
          </w:p>
        </w:tc>
      </w:tr>
    </w:tbl>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Prognozowane dochody majątkowe  dotyczą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wpływów ze sprzedaży nieruchomości,</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dofinansowania do inwestycji z udziałem środków unijnych oraz  z pozostałych dostępnych źródeł,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pomocy finansowej od jednostek samorządu terytorialnego.</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 perspektywie lat 2018-2025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Planowana sprzedaż z rozłożeniem na raty w okresie 12 lat za kwotę c-ca 6.300.000 zł (wartość rynkowa nieruchomości według poziomu cen 2012 i 2014 roku – 6.225.174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D2628E">
        <w:rPr>
          <w:rFonts w:ascii="Times New Roman" w:hAnsi="Times New Roman" w:cs="Times New Roman"/>
          <w:b/>
          <w:bCs/>
        </w:rPr>
        <w:t>PROGNOZA WYDATKÓW</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Analiza podstawowych grup wydatków w latach 2014-2016 potwierdza iż dominującymi wydatkami są wydatki bieżące, które średniorocznie stanowią 88,0 % dokonanych średniorocznych wydatków.</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 największym stopniu obciążają budżet powiatu wydatki na wynagrodzenia i pochodne od wynagrodzeń.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Średniorocznie w latach 2014-2016 wydatki na wynagrodzenia wraz z pochodnymi stanowią 58-59 % wydatków bieżących.</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 wieloletniej prognozie finansowej przyjęto w  2017 roku  wynagrodzeni</w:t>
      </w:r>
      <w:r w:rsidR="00EB653A">
        <w:rPr>
          <w:rFonts w:ascii="Times New Roman" w:hAnsi="Times New Roman" w:cs="Times New Roman"/>
        </w:rPr>
        <w:t>a z pochodnymi na poziomie 102,2</w:t>
      </w:r>
      <w:r w:rsidRPr="00D2628E">
        <w:rPr>
          <w:rFonts w:ascii="Times New Roman" w:hAnsi="Times New Roman" w:cs="Times New Roman"/>
        </w:rPr>
        <w:t xml:space="preserve"> %  wykonania  roku 2016  roku. Wzrost wynagrodzeń jest wynikiem zabezpieczenia środków na wzrost minimaln</w:t>
      </w:r>
      <w:r w:rsidR="00EB653A">
        <w:rPr>
          <w:rFonts w:ascii="Times New Roman" w:hAnsi="Times New Roman" w:cs="Times New Roman"/>
        </w:rPr>
        <w:t>ego wynagrodzenia, wzrost dodat</w:t>
      </w:r>
      <w:r w:rsidRPr="00D2628E">
        <w:rPr>
          <w:rFonts w:ascii="Times New Roman" w:hAnsi="Times New Roman" w:cs="Times New Roman"/>
        </w:rPr>
        <w:t>ków stażowych</w:t>
      </w:r>
      <w:r w:rsidR="00EB653A">
        <w:rPr>
          <w:rFonts w:ascii="Times New Roman" w:hAnsi="Times New Roman" w:cs="Times New Roman"/>
        </w:rPr>
        <w:t xml:space="preserve"> oraz zwiększonej w 2017</w:t>
      </w:r>
      <w:r w:rsidRPr="00D2628E">
        <w:rPr>
          <w:rFonts w:ascii="Times New Roman" w:hAnsi="Times New Roman" w:cs="Times New Roman"/>
        </w:rPr>
        <w:t xml:space="preserve"> roku kwoty nagród jubileuszowych i odpraw emerytalnych.</w:t>
      </w:r>
    </w:p>
    <w:p w:rsidR="00D2628E" w:rsidRPr="00D2628E" w:rsidRDefault="00EB653A"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Dodatkowo od miesiąca kwietnia 2017 zakłada się wzrost wynagrodzeń dla pracowników administracji i ob</w:t>
      </w:r>
      <w:r w:rsidR="00FE1386">
        <w:rPr>
          <w:rFonts w:ascii="Times New Roman" w:hAnsi="Times New Roman" w:cs="Times New Roman"/>
        </w:rPr>
        <w:t>sługi powiatu  średnio w wysokości wzrostu minimalnego wynagrodzenia za pracę.</w:t>
      </w:r>
    </w:p>
    <w:p w:rsidR="00FE1386"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Prognoza na lata 2018-2025 zakłada utrzymanie relacji wynagrodzeń z pochodnymi do wydatków bieżących na poziomie 58 %, przy  średniorocznej dynamice wzrostu wynagrodzeń z pochodnymi na poziomie 101 %.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FF0000"/>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Obciążenie wydatków z tego tytułu wynosi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371"/>
        <w:gridCol w:w="1371"/>
      </w:tblGrid>
      <w:tr w:rsidR="00D2628E" w:rsidRPr="00D2628E">
        <w:tc>
          <w:tcPr>
            <w:tcW w:w="2960"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2018</w:t>
            </w:r>
          </w:p>
        </w:tc>
        <w:tc>
          <w:tcPr>
            <w:tcW w:w="1371"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2019</w:t>
            </w:r>
          </w:p>
        </w:tc>
        <w:tc>
          <w:tcPr>
            <w:tcW w:w="1371"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2020-2025</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łącznie</w:t>
            </w:r>
          </w:p>
        </w:tc>
      </w:tr>
      <w:tr w:rsidR="00D2628E" w:rsidRPr="00D2628E">
        <w:tc>
          <w:tcPr>
            <w:tcW w:w="2960"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300.000</w:t>
            </w:r>
          </w:p>
        </w:tc>
        <w:tc>
          <w:tcPr>
            <w:tcW w:w="1259" w:type="dxa"/>
            <w:tcBorders>
              <w:top w:val="single" w:sz="4" w:space="0" w:color="auto"/>
              <w:left w:val="single" w:sz="4" w:space="0" w:color="auto"/>
              <w:bottom w:val="single" w:sz="4" w:space="0" w:color="auto"/>
              <w:right w:val="nil"/>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242.830</w:t>
            </w:r>
          </w:p>
        </w:tc>
        <w:tc>
          <w:tcPr>
            <w:tcW w:w="1371" w:type="dxa"/>
            <w:tcBorders>
              <w:top w:val="single" w:sz="4" w:space="0" w:color="auto"/>
              <w:left w:val="single" w:sz="4" w:space="0" w:color="auto"/>
              <w:bottom w:val="single" w:sz="4" w:space="0" w:color="auto"/>
              <w:right w:val="nil"/>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304.322</w:t>
            </w:r>
          </w:p>
        </w:tc>
        <w:tc>
          <w:tcPr>
            <w:tcW w:w="1371" w:type="dxa"/>
            <w:tcBorders>
              <w:top w:val="single" w:sz="4" w:space="0" w:color="auto"/>
              <w:left w:val="single" w:sz="4" w:space="0" w:color="auto"/>
              <w:bottom w:val="single" w:sz="4" w:space="0" w:color="auto"/>
              <w:right w:val="single" w:sz="4" w:space="0" w:color="auto"/>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804.748</w:t>
            </w:r>
          </w:p>
        </w:tc>
      </w:tr>
      <w:tr w:rsidR="00D2628E" w:rsidRPr="00D2628E">
        <w:tc>
          <w:tcPr>
            <w:tcW w:w="2960"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Wydatki z tyt. przejętych zobowiązań po likwidacji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395.000</w:t>
            </w:r>
          </w:p>
        </w:tc>
        <w:tc>
          <w:tcPr>
            <w:tcW w:w="1259"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0</w:t>
            </w:r>
          </w:p>
        </w:tc>
        <w:tc>
          <w:tcPr>
            <w:tcW w:w="1371"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c>
      </w:tr>
      <w:tr w:rsidR="00D2628E" w:rsidRPr="00D2628E">
        <w:tc>
          <w:tcPr>
            <w:tcW w:w="2960"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695.000</w:t>
            </w:r>
          </w:p>
        </w:tc>
        <w:tc>
          <w:tcPr>
            <w:tcW w:w="1259" w:type="dxa"/>
            <w:tcBorders>
              <w:top w:val="single" w:sz="4" w:space="0" w:color="auto"/>
              <w:left w:val="single" w:sz="4" w:space="0" w:color="auto"/>
              <w:bottom w:val="single" w:sz="4" w:space="0" w:color="auto"/>
              <w:right w:val="nil"/>
            </w:tcBorders>
          </w:tcPr>
          <w:p w:rsidR="00D2628E" w:rsidRPr="00D2628E" w:rsidRDefault="00FE1386" w:rsidP="00FE138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399.687</w:t>
            </w:r>
          </w:p>
        </w:tc>
        <w:tc>
          <w:tcPr>
            <w:tcW w:w="1371" w:type="dxa"/>
            <w:tcBorders>
              <w:top w:val="single" w:sz="4" w:space="0" w:color="auto"/>
              <w:left w:val="single" w:sz="4" w:space="0" w:color="auto"/>
              <w:bottom w:val="single" w:sz="4" w:space="0" w:color="auto"/>
              <w:right w:val="nil"/>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304.322</w:t>
            </w:r>
          </w:p>
        </w:tc>
        <w:tc>
          <w:tcPr>
            <w:tcW w:w="1371" w:type="dxa"/>
            <w:tcBorders>
              <w:top w:val="single" w:sz="4" w:space="0" w:color="auto"/>
              <w:left w:val="single" w:sz="4" w:space="0" w:color="auto"/>
              <w:bottom w:val="single" w:sz="4" w:space="0" w:color="auto"/>
              <w:right w:val="single" w:sz="4" w:space="0" w:color="auto"/>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804.748</w:t>
            </w:r>
          </w:p>
        </w:tc>
      </w:tr>
    </w:tbl>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r w:rsidRPr="00D2628E">
        <w:rPr>
          <w:rFonts w:ascii="Times New Roman" w:hAnsi="Times New Roman" w:cs="Times New Roman"/>
          <w:b/>
          <w:bCs/>
        </w:rPr>
        <w:t>Prognozowane wydatki powiatu obejmują:</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a) wydatki bieżące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D2628E" w:rsidRPr="00D2628E">
        <w:tc>
          <w:tcPr>
            <w:tcW w:w="2109"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2017</w:t>
            </w:r>
          </w:p>
        </w:tc>
        <w:tc>
          <w:tcPr>
            <w:tcW w:w="2109"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2018</w:t>
            </w:r>
          </w:p>
        </w:tc>
        <w:tc>
          <w:tcPr>
            <w:tcW w:w="2115"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2019</w:t>
            </w:r>
          </w:p>
        </w:tc>
      </w:tr>
      <w:tr w:rsidR="00D2628E" w:rsidRPr="00D2628E">
        <w:tc>
          <w:tcPr>
            <w:tcW w:w="2109" w:type="dxa"/>
            <w:tcBorders>
              <w:top w:val="single" w:sz="4" w:space="0" w:color="auto"/>
              <w:left w:val="single" w:sz="4" w:space="0" w:color="auto"/>
              <w:bottom w:val="single" w:sz="4" w:space="0" w:color="auto"/>
              <w:right w:val="nil"/>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45.116.425</w:t>
            </w:r>
          </w:p>
        </w:tc>
        <w:tc>
          <w:tcPr>
            <w:tcW w:w="2109" w:type="dxa"/>
            <w:tcBorders>
              <w:top w:val="single" w:sz="4" w:space="0" w:color="auto"/>
              <w:left w:val="single" w:sz="4" w:space="0" w:color="auto"/>
              <w:bottom w:val="single" w:sz="4" w:space="0" w:color="auto"/>
              <w:right w:val="nil"/>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47.459.783</w:t>
            </w:r>
          </w:p>
        </w:tc>
        <w:tc>
          <w:tcPr>
            <w:tcW w:w="2115" w:type="dxa"/>
            <w:tcBorders>
              <w:top w:val="single" w:sz="4" w:space="0" w:color="auto"/>
              <w:left w:val="single" w:sz="4" w:space="0" w:color="auto"/>
              <w:bottom w:val="single" w:sz="4" w:space="0" w:color="auto"/>
              <w:right w:val="single" w:sz="4" w:space="0" w:color="auto"/>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46.351.337</w:t>
            </w:r>
          </w:p>
        </w:tc>
      </w:tr>
      <w:tr w:rsidR="00D2628E" w:rsidRPr="00D2628E">
        <w:tc>
          <w:tcPr>
            <w:tcW w:w="6333" w:type="dxa"/>
            <w:gridSpan w:val="3"/>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dynamika w stosunku do roku poprzedniego</w:t>
            </w:r>
          </w:p>
        </w:tc>
      </w:tr>
      <w:tr w:rsidR="00D2628E" w:rsidRPr="00D2628E">
        <w:tc>
          <w:tcPr>
            <w:tcW w:w="2109" w:type="dxa"/>
            <w:tcBorders>
              <w:top w:val="single" w:sz="4" w:space="0" w:color="auto"/>
              <w:left w:val="single" w:sz="4" w:space="0" w:color="auto"/>
              <w:bottom w:val="single" w:sz="4" w:space="0" w:color="auto"/>
              <w:right w:val="single" w:sz="4" w:space="0" w:color="auto"/>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 xml:space="preserve">107,1 </w:t>
            </w:r>
            <w:r w:rsidR="00D2628E" w:rsidRPr="00D2628E">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 xml:space="preserve">105,9 </w:t>
            </w:r>
            <w:r w:rsidR="00D2628E" w:rsidRPr="00D2628E">
              <w:rPr>
                <w:rFonts w:ascii="Times New Roman" w:hAnsi="Times New Roman" w:cs="Times New Roman"/>
              </w:rPr>
              <w:t xml:space="preserve"> %</w:t>
            </w:r>
          </w:p>
        </w:tc>
        <w:tc>
          <w:tcPr>
            <w:tcW w:w="2115" w:type="dxa"/>
            <w:tcBorders>
              <w:top w:val="single" w:sz="4" w:space="0" w:color="auto"/>
              <w:left w:val="single" w:sz="4" w:space="0" w:color="auto"/>
              <w:bottom w:val="single" w:sz="4" w:space="0" w:color="auto"/>
              <w:right w:val="single" w:sz="4" w:space="0" w:color="auto"/>
            </w:tcBorders>
          </w:tcPr>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 xml:space="preserve">97,7 </w:t>
            </w:r>
            <w:r w:rsidR="00D2628E" w:rsidRPr="00D2628E">
              <w:rPr>
                <w:rFonts w:ascii="Times New Roman" w:hAnsi="Times New Roman" w:cs="Times New Roman"/>
              </w:rPr>
              <w:t xml:space="preserve"> %</w:t>
            </w:r>
          </w:p>
        </w:tc>
      </w:tr>
    </w:tbl>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Wzrost wysokości wydatków bieżących w latach  2017 -2018  jest wynikiem m.in. planowanej realizacji projektów  konkursowych  związanych z rozwojem szkolnictwa</w:t>
      </w:r>
      <w:r w:rsidR="003A5629">
        <w:rPr>
          <w:rFonts w:ascii="Times New Roman" w:hAnsi="Times New Roman" w:cs="Times New Roman"/>
        </w:rPr>
        <w:t xml:space="preserve">, w tym szkolnictwa zawodowego </w:t>
      </w:r>
      <w:r w:rsidRPr="00D2628E">
        <w:rPr>
          <w:rFonts w:ascii="Times New Roman" w:hAnsi="Times New Roman" w:cs="Times New Roman"/>
        </w:rPr>
        <w:t xml:space="preserve"> w Powiecie Braniewskim w ramach RPO Województwa Warmińsko Mazurskiego na lata 2014-2020.</w:t>
      </w:r>
    </w:p>
    <w:p w:rsidR="00FE1386"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FE1386"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Przewiduje się w latach 2017-2019, realizację 3</w:t>
      </w:r>
      <w:r w:rsidR="00D2628E" w:rsidRPr="00D2628E">
        <w:rPr>
          <w:rFonts w:ascii="Times New Roman" w:hAnsi="Times New Roman" w:cs="Times New Roman"/>
        </w:rPr>
        <w:t xml:space="preserve"> projektów</w:t>
      </w:r>
      <w:r>
        <w:rPr>
          <w:rFonts w:ascii="Times New Roman" w:hAnsi="Times New Roman" w:cs="Times New Roman"/>
        </w:rPr>
        <w:t xml:space="preserve"> </w:t>
      </w:r>
      <w:r w:rsidR="00D2628E" w:rsidRPr="00D2628E">
        <w:rPr>
          <w:rFonts w:ascii="Times New Roman" w:hAnsi="Times New Roman" w:cs="Times New Roman"/>
        </w:rPr>
        <w:t xml:space="preserve"> w jednostkach oświatowych realizujących szkolnictwo zawodowe tj. w Zespole Szkół Zawodowych w Braniewie oraz w Zespole Szkół Budowlanych w Bran</w:t>
      </w:r>
      <w:r>
        <w:rPr>
          <w:rFonts w:ascii="Times New Roman" w:hAnsi="Times New Roman" w:cs="Times New Roman"/>
        </w:rPr>
        <w:t>iewie jak również projektu  pn. Postaw na LO- nowoczesna baza edukacyjna” ukierunkowanego na modernizację obiektu oraz doposażenie Liceum Ogólnokształcącego w Braniewie.</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Dodatkowo szkoły realizujące kształcenie zawodowe aplikują o środki z programu  Program Operacyjny Wiedza Edukacja Rozwój  w ramach projektu Staże zagraniczne dla uczniów i absolwentów szkół zawodowych oraz mobilność kadry kształcenia zawodowego.</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lastRenderedPageBreak/>
        <w:t>ZSZ w Braniewie w latach 2016-2018 w ramach ww. programu planuje zrealizować projekt pn.” Język i zawód kluczem do sukcesu” o wartości 158 060 EUR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ZSB w Braniewie w latach 2016-2018 w ramach  tego samego programu planuje zrealizować projekt pn. "Budujemy swoją przyszłość" o wartości 38.380 EUR.</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b) wydatki majątkowe </w:t>
      </w:r>
    </w:p>
    <w:p w:rsidR="00D2628E" w:rsidRPr="00D2628E" w:rsidRDefault="00D2628E" w:rsidP="00D2628E">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D2628E" w:rsidRPr="00D2628E">
        <w:tc>
          <w:tcPr>
            <w:tcW w:w="2148"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2017</w:t>
            </w:r>
          </w:p>
        </w:tc>
        <w:tc>
          <w:tcPr>
            <w:tcW w:w="2149"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2018</w:t>
            </w:r>
          </w:p>
        </w:tc>
        <w:tc>
          <w:tcPr>
            <w:tcW w:w="2160"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2019</w:t>
            </w:r>
          </w:p>
        </w:tc>
      </w:tr>
      <w:tr w:rsidR="00D2628E" w:rsidRPr="00D2628E">
        <w:tc>
          <w:tcPr>
            <w:tcW w:w="2148" w:type="dxa"/>
            <w:tcBorders>
              <w:top w:val="single" w:sz="4" w:space="0" w:color="auto"/>
              <w:left w:val="single" w:sz="4" w:space="0" w:color="auto"/>
              <w:bottom w:val="single" w:sz="4" w:space="0" w:color="auto"/>
              <w:right w:val="nil"/>
            </w:tcBorders>
          </w:tcPr>
          <w:p w:rsidR="00D2628E"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6.846.358</w:t>
            </w:r>
          </w:p>
        </w:tc>
        <w:tc>
          <w:tcPr>
            <w:tcW w:w="2149" w:type="dxa"/>
            <w:tcBorders>
              <w:top w:val="single" w:sz="4" w:space="0" w:color="auto"/>
              <w:left w:val="single" w:sz="4" w:space="0" w:color="auto"/>
              <w:bottom w:val="single" w:sz="4" w:space="0" w:color="auto"/>
              <w:right w:val="nil"/>
            </w:tcBorders>
          </w:tcPr>
          <w:p w:rsidR="00D2628E"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16.167.930</w:t>
            </w:r>
          </w:p>
        </w:tc>
        <w:tc>
          <w:tcPr>
            <w:tcW w:w="2160"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4.716.799</w:t>
            </w:r>
          </w:p>
        </w:tc>
      </w:tr>
      <w:tr w:rsidR="00D2628E" w:rsidRPr="00D2628E">
        <w:tc>
          <w:tcPr>
            <w:tcW w:w="6457" w:type="dxa"/>
            <w:gridSpan w:val="3"/>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dynamika w stosunku do roku poprzedniego</w:t>
            </w:r>
          </w:p>
        </w:tc>
      </w:tr>
      <w:tr w:rsidR="00D2628E" w:rsidRPr="00D2628E">
        <w:tc>
          <w:tcPr>
            <w:tcW w:w="2148" w:type="dxa"/>
            <w:tcBorders>
              <w:top w:val="single" w:sz="4" w:space="0" w:color="auto"/>
              <w:left w:val="single" w:sz="4" w:space="0" w:color="auto"/>
              <w:bottom w:val="single" w:sz="4" w:space="0" w:color="auto"/>
              <w:right w:val="nil"/>
            </w:tcBorders>
          </w:tcPr>
          <w:p w:rsidR="00D2628E"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196,2</w:t>
            </w:r>
            <w:r w:rsidR="00D2628E" w:rsidRPr="00D2628E">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t>
            </w:r>
            <w:r w:rsidR="00A56401">
              <w:rPr>
                <w:rFonts w:ascii="Times New Roman" w:hAnsi="Times New Roman" w:cs="Times New Roman"/>
              </w:rPr>
              <w:t>236,2</w:t>
            </w:r>
            <w:r w:rsidRPr="00D2628E">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t>
            </w:r>
            <w:r w:rsidR="00A56401">
              <w:rPr>
                <w:rFonts w:ascii="Times New Roman" w:hAnsi="Times New Roman" w:cs="Times New Roman"/>
              </w:rPr>
              <w:t>29,2</w:t>
            </w:r>
            <w:r w:rsidRPr="00D2628E">
              <w:rPr>
                <w:rFonts w:ascii="Times New Roman" w:hAnsi="Times New Roman" w:cs="Times New Roman"/>
              </w:rPr>
              <w:t xml:space="preserve"> %</w:t>
            </w:r>
          </w:p>
        </w:tc>
      </w:tr>
    </w:tbl>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 okresie objętym prognozą zaplanowano realizację inwestycji wieloletnich:</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1.  inwestycji związanej z przebudową drogi powiatowej Nr 1342 N na odcinku Bardyny -</w:t>
      </w:r>
      <w:proofErr w:type="spellStart"/>
      <w:r w:rsidRPr="00D2628E">
        <w:rPr>
          <w:rFonts w:ascii="Times New Roman" w:hAnsi="Times New Roman" w:cs="Times New Roman"/>
        </w:rPr>
        <w:t>Stygajny</w:t>
      </w:r>
      <w:proofErr w:type="spellEnd"/>
      <w:r w:rsidRPr="00D2628E">
        <w:rPr>
          <w:rFonts w:ascii="Times New Roman" w:hAnsi="Times New Roman" w:cs="Times New Roman"/>
        </w:rPr>
        <w:t xml:space="preserve">;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Długobór-  Pakosze”  o wartości 2.503.223 zł, z czego :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2016 roku wynoszą        7.503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2017 roku wynoszą 1.058.249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2018 roku wynoszą 1.437.471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Inwestycja planowana do sfinansowania środkami unijnymi w ramach Programu Rozwoju Obszarów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Wiejskich na lata 2015-2020  oraz środkami  własnymi   powiatu,.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Koszty kwalifikowane związane z realizacja przedsięwzięcia w 63,63 % finansowane są środkami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unijnymi.</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2. inwestycji związanej z przebudową drogi powiatowej Nr 1397 N na odcinku Piele –Zagaje ;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Wyszkowo-  Piotrowiec”  o wartości 2.140.408 zł, z czego :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2016 roku wynoszą         7.503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2017 roku wynoszą     605.713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2018 roku wynoszą 1.527.192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Inwestycja planowana do sfinansowania środkami unijnymi w ramach Programu Rozwoju Obszarów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Wiejskich na lata 2015-2020  oraz środkami  własnymi   powiatu,.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Koszty kwalifikowane związane z realizacja przedsięwzięcia w 63,63 % finansowane są środkami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unijnymi.</w:t>
      </w:r>
    </w:p>
    <w:p w:rsidR="00A56401"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3. inwestycji związanej </w:t>
      </w:r>
      <w:r w:rsidR="00D2628E" w:rsidRPr="00D2628E">
        <w:rPr>
          <w:rFonts w:ascii="Times New Roman" w:hAnsi="Times New Roman" w:cs="Times New Roman"/>
        </w:rPr>
        <w:t>z popr</w:t>
      </w:r>
      <w:r>
        <w:rPr>
          <w:rFonts w:ascii="Times New Roman" w:hAnsi="Times New Roman" w:cs="Times New Roman"/>
        </w:rPr>
        <w:t>awą efektywności energetycznej -</w:t>
      </w:r>
      <w:r w:rsidR="00D2628E" w:rsidRPr="00D2628E">
        <w:rPr>
          <w:rFonts w:ascii="Times New Roman" w:hAnsi="Times New Roman" w:cs="Times New Roman"/>
        </w:rPr>
        <w:t xml:space="preserve"> projektu pn.”  Powiat Braniewski </w:t>
      </w:r>
      <w:r>
        <w:rPr>
          <w:rFonts w:ascii="Times New Roman" w:hAnsi="Times New Roman" w:cs="Times New Roman"/>
        </w:rPr>
        <w:t xml:space="preserve"> </w:t>
      </w:r>
    </w:p>
    <w:p w:rsidR="00A56401"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w:t>
      </w:r>
      <w:r w:rsidR="00D2628E" w:rsidRPr="00D2628E">
        <w:rPr>
          <w:rFonts w:ascii="Times New Roman" w:hAnsi="Times New Roman" w:cs="Times New Roman"/>
        </w:rPr>
        <w:t xml:space="preserve">efektywny energetycznie”  -projekt związany z kompleksową  termomodernizacją  obiektów </w:t>
      </w:r>
      <w:r>
        <w:rPr>
          <w:rFonts w:ascii="Times New Roman" w:hAnsi="Times New Roman" w:cs="Times New Roman"/>
        </w:rPr>
        <w:t xml:space="preserve"> </w:t>
      </w:r>
    </w:p>
    <w:p w:rsidR="00A56401"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w:t>
      </w:r>
      <w:r w:rsidR="00D2628E" w:rsidRPr="00D2628E">
        <w:rPr>
          <w:rFonts w:ascii="Times New Roman" w:hAnsi="Times New Roman" w:cs="Times New Roman"/>
        </w:rPr>
        <w:t>użyteczności publicznej przewidziany jest do  realizacji w latach  2016-2018 .</w:t>
      </w:r>
    </w:p>
    <w:p w:rsidR="00D2628E"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Wartość projektu 10.282.652</w:t>
      </w:r>
      <w:r w:rsidR="00D2628E" w:rsidRPr="00D2628E">
        <w:rPr>
          <w:rFonts w:ascii="Times New Roman" w:hAnsi="Times New Roman" w:cs="Times New Roman"/>
        </w:rPr>
        <w:t xml:space="preserve"> zł, z czego:</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wyd</w:t>
      </w:r>
      <w:r w:rsidR="00A56401">
        <w:rPr>
          <w:rFonts w:ascii="Times New Roman" w:hAnsi="Times New Roman" w:cs="Times New Roman"/>
        </w:rPr>
        <w:t>atki 2016 roku wynoszą     140.282</w:t>
      </w:r>
      <w:r w:rsidRPr="00D2628E">
        <w:rPr>
          <w:rFonts w:ascii="Times New Roman" w:hAnsi="Times New Roman" w:cs="Times New Roman"/>
        </w:rPr>
        <w:t xml:space="preserve">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wyd</w:t>
      </w:r>
      <w:r w:rsidR="00A56401">
        <w:rPr>
          <w:rFonts w:ascii="Times New Roman" w:hAnsi="Times New Roman" w:cs="Times New Roman"/>
        </w:rPr>
        <w:t>atki 2018 roku wynoszą 10.030.760</w:t>
      </w:r>
      <w:r w:rsidRPr="00D2628E">
        <w:rPr>
          <w:rFonts w:ascii="Times New Roman" w:hAnsi="Times New Roman" w:cs="Times New Roman"/>
        </w:rPr>
        <w:t xml:space="preserve"> zł.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Inwestycja planowana do sfinansowania środkami unijnymi w ramach Regionalnego Programu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Rozwoju  Województwa Warmińsko –Mazurskiego na lata 2014-2020  oraz środkami  własnymi          </w:t>
      </w:r>
    </w:p>
    <w:p w:rsidR="00A5640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Powiatu. </w:t>
      </w:r>
      <w:r w:rsidR="00A56401">
        <w:rPr>
          <w:rFonts w:ascii="Times New Roman" w:hAnsi="Times New Roman" w:cs="Times New Roman"/>
        </w:rPr>
        <w:t xml:space="preserve"> Planowane dofinansowanie środkami unijnymi wynosi 6.800.000 zł, zaś wkład własny </w:t>
      </w:r>
    </w:p>
    <w:p w:rsidR="00A56401"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3.482.652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4. inwestycji związanej z modernizacją baz danych ewidencji gruntów i budynków , obiektów </w:t>
      </w:r>
    </w:p>
    <w:p w:rsidR="00D2628E" w:rsidRPr="00D2628E" w:rsidRDefault="003A562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topograficznych  ora</w:t>
      </w:r>
      <w:r w:rsidR="00D2628E" w:rsidRPr="00D2628E">
        <w:rPr>
          <w:rFonts w:ascii="Times New Roman" w:hAnsi="Times New Roman" w:cs="Times New Roman"/>
        </w:rPr>
        <w:t xml:space="preserve">z ewidencji sieci uzbrojenia terenu  w ramach projektu “Wdrożenie e-usług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publicznych w Starostwie Powiatowym w Braniewie w zakresie udostępnienia powiatowego zasobu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t>
      </w:r>
      <w:proofErr w:type="spellStart"/>
      <w:r w:rsidRPr="00D2628E">
        <w:rPr>
          <w:rFonts w:ascii="Times New Roman" w:hAnsi="Times New Roman" w:cs="Times New Roman"/>
        </w:rPr>
        <w:t>geodezyhjnego</w:t>
      </w:r>
      <w:proofErr w:type="spellEnd"/>
      <w:r w:rsidRPr="00D2628E">
        <w:rPr>
          <w:rFonts w:ascii="Times New Roman" w:hAnsi="Times New Roman" w:cs="Times New Roman"/>
        </w:rPr>
        <w:t xml:space="preserve"> I kartograficznego”  o wartości 4.035.000 zł, z czego :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2017 roku wynoszą       1.015.000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2018 roku wynoszą       1.000.000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2019 roku wynoszą       1.020.000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 planowane nakłady 2020 roku wynoszą       1.000.000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Inwestycja planowana do sfinansowania środkami unijnymi w ramach Regionalnego Programu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Operacyjnego Warmia i Mazury “ działanie 3.1 –Cyfrowa dostępność informacji sektora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publicznego oraz wysoka jakość e – usług publicznych” oraz środkami  własnymi   powiatu,.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Koszty kwalifikowane związane z realizacja przedsięwzięcia w 85 % finansowane są środkami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unijnymi.</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5. Ze względu na zakończenie prac związanych z opracowaniem dokumentacji dla zadania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inwestycyjnego pn. Poprawa warunków komunikacyjnych na trasie przygranicznej Gronowo-</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Górowo Iławeckie etap Żelazna Góra oraz dla zadania pn. Przebudowa drogi powiatowej Nr 1154N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 miejsco</w:t>
      </w:r>
      <w:r w:rsidR="003A5629">
        <w:rPr>
          <w:rFonts w:ascii="Times New Roman" w:hAnsi="Times New Roman" w:cs="Times New Roman"/>
        </w:rPr>
        <w:t xml:space="preserve">wości Słobity zaplanowano na lata </w:t>
      </w:r>
      <w:r w:rsidRPr="00D2628E">
        <w:rPr>
          <w:rFonts w:ascii="Times New Roman" w:hAnsi="Times New Roman" w:cs="Times New Roman"/>
        </w:rPr>
        <w:t xml:space="preserve"> 2017</w:t>
      </w:r>
      <w:r w:rsidR="003A5629">
        <w:rPr>
          <w:rFonts w:ascii="Times New Roman" w:hAnsi="Times New Roman" w:cs="Times New Roman"/>
        </w:rPr>
        <w:t>-2018</w:t>
      </w:r>
      <w:r w:rsidRPr="00D2628E">
        <w:rPr>
          <w:rFonts w:ascii="Times New Roman" w:hAnsi="Times New Roman" w:cs="Times New Roman"/>
        </w:rPr>
        <w:t xml:space="preserve"> rzeczową realizację tych inwestycji , przy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pozyskaniu środków z budżetu państwa w ramach  programu rządowego – programu rozwoju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gminnej i powiatowej infrastruktury drogowej na lata 2016-2019.</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Wartość inwestycji pn. Poprawa warunków komunikacyjnych na trasie przygranicznej Gronowo-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Górowo Iławeckie etap Żelazna Góra łącznie z opracowaną dokumentacją projektowo-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t>
      </w:r>
      <w:r w:rsidR="00A56401">
        <w:rPr>
          <w:rFonts w:ascii="Times New Roman" w:hAnsi="Times New Roman" w:cs="Times New Roman"/>
        </w:rPr>
        <w:t>kosztorysową wynosi 1.284.853</w:t>
      </w:r>
      <w:r w:rsidR="003A5629">
        <w:rPr>
          <w:rFonts w:ascii="Times New Roman" w:hAnsi="Times New Roman" w:cs="Times New Roman"/>
        </w:rPr>
        <w:t xml:space="preserve"> zł .</w:t>
      </w:r>
    </w:p>
    <w:p w:rsidR="00A56401"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Wartość inwestycji pn. „ Przebudowa drogi powiatowej Nr 1154N w miejscowości Słobity”</w:t>
      </w:r>
      <w:r w:rsidR="00A56401">
        <w:rPr>
          <w:rFonts w:ascii="Times New Roman" w:hAnsi="Times New Roman" w:cs="Times New Roman"/>
        </w:rPr>
        <w:t xml:space="preserve"> </w:t>
      </w:r>
    </w:p>
    <w:p w:rsidR="00A56401"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przewidzianej  do realizacji w latach 2015-2018 </w:t>
      </w:r>
      <w:r w:rsidR="00D2628E" w:rsidRPr="00D2628E">
        <w:rPr>
          <w:rFonts w:ascii="Times New Roman" w:hAnsi="Times New Roman" w:cs="Times New Roman"/>
        </w:rPr>
        <w:t xml:space="preserve"> łącznie  z opracowaną dokumentacją projektowo-</w:t>
      </w:r>
      <w:r>
        <w:rPr>
          <w:rFonts w:ascii="Times New Roman" w:hAnsi="Times New Roman" w:cs="Times New Roman"/>
        </w:rPr>
        <w:t xml:space="preserve"> </w:t>
      </w:r>
    </w:p>
    <w:p w:rsidR="00D2628E"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    </w:t>
      </w:r>
      <w:r w:rsidR="00D2628E" w:rsidRPr="00D2628E">
        <w:rPr>
          <w:rFonts w:ascii="Times New Roman" w:hAnsi="Times New Roman" w:cs="Times New Roman"/>
        </w:rPr>
        <w:t xml:space="preserve">kosztorysową wynosi 1.605.232 zł, </w:t>
      </w:r>
    </w:p>
    <w:p w:rsid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A56401" w:rsidRPr="00D2628E" w:rsidRDefault="00A5640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Celem poprawy warunków komunikacyjnych na terenie całego powiatu ,przewiduje się  dalszą współpracę  z gminami w zakresie poprawy stanu dróg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Powiat Braniewski przewiduje m.in.  powierzenie Gminie Pieniężno zarządu nad częścią dróg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powiatowych  położonych na terenie miasta Pieniężno. W ramach zarządu przewiduje się bieżące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utrzymanie dróg powiatowych oraz przeprowadzenie modernizacji tych dróg w 2017 roku na co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zabezpieczono w budżecie dodatkowe środki w </w:t>
      </w:r>
      <w:r w:rsidR="00A56401">
        <w:rPr>
          <w:rFonts w:ascii="Times New Roman" w:hAnsi="Times New Roman" w:cs="Times New Roman"/>
        </w:rPr>
        <w:t xml:space="preserve">kwocie 778.133 zł. Środki te przeznaczone są na zabezpieczenie wkładu własnego gminy </w:t>
      </w:r>
      <w:r w:rsidRPr="00D2628E">
        <w:rPr>
          <w:rFonts w:ascii="Times New Roman" w:hAnsi="Times New Roman" w:cs="Times New Roman"/>
        </w:rPr>
        <w:t>na przebudowę i modernizację dróg przejętych w zarząd w  ramach Programu Rozwoju Obszarów   Wiejskich na lata 2015-2020.</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W ramach współpracy z gminami  zabezpiecza się  środki w łącznej kwo</w:t>
      </w:r>
      <w:r w:rsidR="00A56401">
        <w:rPr>
          <w:rFonts w:ascii="Times New Roman" w:hAnsi="Times New Roman" w:cs="Times New Roman"/>
        </w:rPr>
        <w:t>cie 100</w:t>
      </w:r>
      <w:r w:rsidRPr="00D2628E">
        <w:rPr>
          <w:rFonts w:ascii="Times New Roman" w:hAnsi="Times New Roman" w:cs="Times New Roman"/>
        </w:rPr>
        <w:t xml:space="preserve">.000 zł, </w:t>
      </w:r>
      <w:r w:rsidR="000E3009">
        <w:rPr>
          <w:rFonts w:ascii="Times New Roman" w:hAnsi="Times New Roman" w:cs="Times New Roman"/>
        </w:rPr>
        <w:t xml:space="preserve"> </w:t>
      </w:r>
      <w:r w:rsidRPr="00D2628E">
        <w:rPr>
          <w:rFonts w:ascii="Times New Roman" w:hAnsi="Times New Roman" w:cs="Times New Roman"/>
        </w:rPr>
        <w:t xml:space="preserve">na modernizację dróg powiatowych położonych na terenie gmin  </w:t>
      </w:r>
      <w:proofErr w:type="spellStart"/>
      <w:r w:rsidRPr="00D2628E">
        <w:rPr>
          <w:rFonts w:ascii="Times New Roman" w:hAnsi="Times New Roman" w:cs="Times New Roman"/>
        </w:rPr>
        <w:t>aplikujacych</w:t>
      </w:r>
      <w:proofErr w:type="spellEnd"/>
      <w:r w:rsidRPr="00D2628E">
        <w:rPr>
          <w:rFonts w:ascii="Times New Roman" w:hAnsi="Times New Roman" w:cs="Times New Roman"/>
        </w:rPr>
        <w:t xml:space="preserve"> o dofinansowanie środami  zewnętrznymi w ramach Programu   Rozwoju Obszarów   Wiejskich  na lata 2015-2020,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Przedstawione w dokumencie planowane wydatki majątkowe w formie dotacji na lata 2017-2018 obejmują</w:t>
      </w:r>
      <w:r w:rsidR="000E3009">
        <w:rPr>
          <w:rFonts w:ascii="Times New Roman" w:hAnsi="Times New Roman" w:cs="Times New Roman"/>
        </w:rPr>
        <w:t xml:space="preserve"> m.in.</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planowaną pomoc finansową dla Miasta Braniewa na dofinansowanie inwestycji związanej z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budową mostu na rzece Pasłęce ,z czego w 2017 roku -200.000 zł, 2018 rok- 100.000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planowaną w 2</w:t>
      </w:r>
      <w:r w:rsidR="000E3009">
        <w:rPr>
          <w:rFonts w:ascii="Times New Roman" w:hAnsi="Times New Roman" w:cs="Times New Roman"/>
        </w:rPr>
        <w:t>017 roku dotację w kwocie 778.133</w:t>
      </w:r>
      <w:r w:rsidRPr="00D2628E">
        <w:rPr>
          <w:rFonts w:ascii="Times New Roman" w:hAnsi="Times New Roman" w:cs="Times New Roman"/>
        </w:rPr>
        <w:t xml:space="preserve"> zł  dla Miasta i Gminy Pieniężno stanowiącą</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wkład Powiatu Braniewskiego w inwestycji  prowadzonej przez Gminę na drogach powiatowych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przekazanych  gminie w zarząd , dofinansowanej środami  zewnętrznymi ramach Programu Rozwoju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Obszarów   Wiejskich na lata 2015-2020,</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Planuje się w 2019 roku poniesienie nakładów</w:t>
      </w:r>
      <w:r w:rsidR="003A5629">
        <w:rPr>
          <w:rFonts w:ascii="Times New Roman" w:hAnsi="Times New Roman" w:cs="Times New Roman"/>
        </w:rPr>
        <w:t xml:space="preserve"> </w:t>
      </w:r>
      <w:r w:rsidRPr="00D2628E">
        <w:rPr>
          <w:rFonts w:ascii="Times New Roman" w:hAnsi="Times New Roman" w:cs="Times New Roman"/>
        </w:rPr>
        <w:t>w kwocie 600.000 zł na kontynuację  inwestycji związanej z przebudową drogi powiatowej Nr 1377 N Nowa Pasłęka –  Braniewo wraz z   ulicą  Świętokrzyską . Inwestycja realizowana w etapach, przy czym  w latach 2010-2016 poniesiono już nakłady  na opracowanie dokumentacji technicznej  oraz reali</w:t>
      </w:r>
      <w:r w:rsidR="000E3009">
        <w:rPr>
          <w:rFonts w:ascii="Times New Roman" w:hAnsi="Times New Roman" w:cs="Times New Roman"/>
        </w:rPr>
        <w:t xml:space="preserve">zację  części tego zadania </w:t>
      </w:r>
      <w:r w:rsidRPr="00D2628E">
        <w:rPr>
          <w:rFonts w:ascii="Times New Roman" w:hAnsi="Times New Roman" w:cs="Times New Roman"/>
        </w:rPr>
        <w:t>na łączną wartość 2.375.626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Poziom planowanych wydatków majątkowych  jest uwarunkowany wysokością  środków własnych na ich realizację oraz możliwościami powiatu w zakresie obsługi długu.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D2628E">
        <w:rPr>
          <w:rFonts w:ascii="Times New Roman" w:hAnsi="Times New Roman" w:cs="Times New Roman"/>
          <w:b/>
          <w:bCs/>
        </w:rPr>
        <w:t>Planowany i prognozowany wynik budżetu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 xml:space="preserve"> liczony jako różnica pomiędzy dochodami a wydatkami wynosi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76"/>
        <w:gridCol w:w="1376"/>
        <w:gridCol w:w="1621"/>
      </w:tblGrid>
      <w:tr w:rsidR="00D2628E" w:rsidRPr="00D2628E">
        <w:tc>
          <w:tcPr>
            <w:tcW w:w="3237"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lastRenderedPageBreak/>
              <w:t>Nadwyżka/Deficyt</w:t>
            </w:r>
          </w:p>
        </w:tc>
        <w:tc>
          <w:tcPr>
            <w:tcW w:w="1376"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2017</w:t>
            </w:r>
          </w:p>
        </w:tc>
        <w:tc>
          <w:tcPr>
            <w:tcW w:w="1376"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2018</w:t>
            </w:r>
          </w:p>
        </w:tc>
        <w:tc>
          <w:tcPr>
            <w:tcW w:w="1376"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2019</w:t>
            </w:r>
          </w:p>
        </w:tc>
        <w:tc>
          <w:tcPr>
            <w:tcW w:w="1621"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D2628E">
              <w:rPr>
                <w:rFonts w:ascii="Times New Roman" w:hAnsi="Times New Roman" w:cs="Times New Roman"/>
              </w:rPr>
              <w:t>2020-2025</w:t>
            </w:r>
          </w:p>
        </w:tc>
      </w:tr>
      <w:tr w:rsidR="00D2628E" w:rsidRPr="00D2628E">
        <w:tc>
          <w:tcPr>
            <w:tcW w:w="3237"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Nadwyżka</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2.225.699</w:t>
            </w:r>
          </w:p>
        </w:tc>
        <w:tc>
          <w:tcPr>
            <w:tcW w:w="1376"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0E3009"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0E3009"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D2628E" w:rsidRPr="00D2628E"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3.093.041</w:t>
            </w:r>
          </w:p>
        </w:tc>
        <w:tc>
          <w:tcPr>
            <w:tcW w:w="1376" w:type="dxa"/>
            <w:tcBorders>
              <w:top w:val="single" w:sz="4" w:space="0" w:color="auto"/>
              <w:left w:val="single" w:sz="4" w:space="0" w:color="auto"/>
              <w:bottom w:val="single" w:sz="4" w:space="0" w:color="auto"/>
              <w:right w:val="nil"/>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D2628E" w:rsidRPr="00D2628E"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Pr>
                <w:rFonts w:ascii="Times New Roman" w:hAnsi="Times New Roman" w:cs="Times New Roman"/>
              </w:rPr>
              <w:t>1.481.864</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tc>
        <w:tc>
          <w:tcPr>
            <w:tcW w:w="1621" w:type="dxa"/>
            <w:tcBorders>
              <w:top w:val="single" w:sz="4" w:space="0" w:color="auto"/>
              <w:left w:val="single" w:sz="4" w:space="0" w:color="auto"/>
              <w:bottom w:val="single" w:sz="4" w:space="0" w:color="auto"/>
              <w:right w:val="single" w:sz="4" w:space="0" w:color="auto"/>
            </w:tcBorders>
          </w:tcPr>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D2628E" w:rsidRPr="00D2628E"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9.175.000</w:t>
            </w:r>
          </w:p>
        </w:tc>
      </w:tr>
    </w:tbl>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Planowany deficyt 2017 roku zostanie w całości pokryty przychodami pochodzącymi z </w:t>
      </w:r>
      <w:r w:rsidR="000E3009">
        <w:rPr>
          <w:rFonts w:ascii="Times New Roman" w:hAnsi="Times New Roman" w:cs="Times New Roman"/>
        </w:rPr>
        <w:t xml:space="preserve">nadwyżki budżetowej lat poprzednich. </w:t>
      </w:r>
    </w:p>
    <w:p w:rsidR="000E3009" w:rsidRPr="00D2628E" w:rsidRDefault="000E3009" w:rsidP="000E30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 xml:space="preserve">Planowany deficyt 2018 roku oraz planowana spłata rat kredytów  zostaną pokryte </w:t>
      </w:r>
      <w:r w:rsidRPr="00D2628E">
        <w:rPr>
          <w:rFonts w:ascii="Times New Roman" w:hAnsi="Times New Roman" w:cs="Times New Roman"/>
        </w:rPr>
        <w:t>kredyt</w:t>
      </w:r>
      <w:r>
        <w:rPr>
          <w:rFonts w:ascii="Times New Roman" w:hAnsi="Times New Roman" w:cs="Times New Roman"/>
        </w:rPr>
        <w:t xml:space="preserve">em długoterminowym w łącznej </w:t>
      </w:r>
      <w:r w:rsidRPr="00D2628E">
        <w:rPr>
          <w:rFonts w:ascii="Times New Roman" w:hAnsi="Times New Roman" w:cs="Times New Roman"/>
        </w:rPr>
        <w:t>wysokości  1</w:t>
      </w:r>
      <w:r>
        <w:rPr>
          <w:rFonts w:ascii="Times New Roman" w:hAnsi="Times New Roman" w:cs="Times New Roman"/>
        </w:rPr>
        <w:t>5.080.541 zł.</w:t>
      </w:r>
      <w:r w:rsidRPr="00D2628E">
        <w:rPr>
          <w:rFonts w:ascii="Times New Roman" w:hAnsi="Times New Roman" w:cs="Times New Roman"/>
        </w:rPr>
        <w:t>.</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0E3009"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Prognozowana </w:t>
      </w:r>
      <w:r w:rsidR="000E3009">
        <w:rPr>
          <w:rFonts w:ascii="Times New Roman" w:hAnsi="Times New Roman" w:cs="Times New Roman"/>
        </w:rPr>
        <w:t>nadwyżka budżetowa w latach 2019</w:t>
      </w:r>
      <w:r w:rsidRPr="00D2628E">
        <w:rPr>
          <w:rFonts w:ascii="Times New Roman" w:hAnsi="Times New Roman" w:cs="Times New Roman"/>
        </w:rPr>
        <w:t>-2025 przeznaczona jest w całości na spłatę zobowiązań kredytowych</w:t>
      </w:r>
      <w:r w:rsidR="000E3009">
        <w:rPr>
          <w:rFonts w:ascii="Times New Roman" w:hAnsi="Times New Roman" w:cs="Times New Roman"/>
        </w:rPr>
        <w:t>.</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D2628E">
        <w:rPr>
          <w:rFonts w:ascii="Times New Roman" w:hAnsi="Times New Roman" w:cs="Times New Roman"/>
          <w:b/>
          <w:bCs/>
        </w:rPr>
        <w:t>Zadłużenie Powiatu Braniewskiego i możliwości jego obsługi</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D2628E" w:rsidRPr="00D2628E" w:rsidRDefault="000E3009"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Pr>
          <w:rFonts w:ascii="Times New Roman" w:hAnsi="Times New Roman" w:cs="Times New Roman"/>
        </w:rPr>
        <w:t>S</w:t>
      </w:r>
      <w:r w:rsidR="00D2628E" w:rsidRPr="00D2628E">
        <w:rPr>
          <w:rFonts w:ascii="Times New Roman" w:hAnsi="Times New Roman" w:cs="Times New Roman"/>
        </w:rPr>
        <w:t>tan zadłużenia Powiatu Braniewskiego  na dzień 31.12.2016 r. z ty</w:t>
      </w:r>
      <w:r>
        <w:rPr>
          <w:rFonts w:ascii="Times New Roman" w:hAnsi="Times New Roman" w:cs="Times New Roman"/>
        </w:rPr>
        <w:t>tułu kredytów bankowych wynosi</w:t>
      </w:r>
      <w:r w:rsidR="00D2628E" w:rsidRPr="00D2628E">
        <w:rPr>
          <w:rFonts w:ascii="Times New Roman" w:hAnsi="Times New Roman" w:cs="Times New Roman"/>
        </w:rPr>
        <w:t xml:space="preserve"> 7.563.823 zł i dotyczy kredytów zaciągniętych w: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1. Braniewsko-Pasłęckim Banku Spółdzielczym – kredyt w walucie polskiej w kwocie 7.466.586 zł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na  sfinansowanie deficytu 2011 roku oraz zobowiązań z tytułu spłat rat  kredytów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Raty kredytu i odsetek płatne w okresach kwartalnych. Ostateczny termin spłaty kredytu przypada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na dzień 31.12.2018 r.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b/>
          <w:bCs/>
        </w:rPr>
      </w:pPr>
      <w:r w:rsidRPr="00D2628E">
        <w:rPr>
          <w:rFonts w:ascii="Times New Roman" w:hAnsi="Times New Roman" w:cs="Times New Roman"/>
        </w:rPr>
        <w:t xml:space="preserve">    </w:t>
      </w:r>
      <w:r w:rsidR="008619EF">
        <w:rPr>
          <w:rFonts w:ascii="Times New Roman" w:hAnsi="Times New Roman" w:cs="Times New Roman"/>
        </w:rPr>
        <w:t>S</w:t>
      </w:r>
      <w:r w:rsidRPr="00D2628E">
        <w:rPr>
          <w:rFonts w:ascii="Times New Roman" w:hAnsi="Times New Roman" w:cs="Times New Roman"/>
        </w:rPr>
        <w:t>tan zadłużenia na 31.12.2016 r.- 2.850.000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2.  BGK Oddział w Olsztynie kredyt w walucie polskiej na sfinansowanie spłaty rat kredytów w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kwocie 2.412.975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Raty kredytu i odsetek płatne w okresach kwartalnych. Ostateczny termin spłaty kredytu przypada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na dzień  31.12.2021 r.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w:t>
      </w:r>
      <w:r w:rsidR="008619EF">
        <w:rPr>
          <w:rFonts w:ascii="Times New Roman" w:hAnsi="Times New Roman" w:cs="Times New Roman"/>
        </w:rPr>
        <w:t>S</w:t>
      </w:r>
      <w:r w:rsidRPr="00D2628E">
        <w:rPr>
          <w:rFonts w:ascii="Times New Roman" w:hAnsi="Times New Roman" w:cs="Times New Roman"/>
        </w:rPr>
        <w:t>tan zadłużenia na 31.12.2016 r.- 1.500.000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3. BGK Oddział w Olsztynie – kredyt w walucie polskiej  na sfinansowanie planowanego deficytu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2015 roku  oraz na spłaty rat kredytów w łącznej  kwocie 2.665.556  zł.</w:t>
      </w:r>
    </w:p>
    <w:p w:rsidR="00D2628E" w:rsidRPr="00D2628E" w:rsidRDefault="00D2628E" w:rsidP="00D2628E">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Raty kredytu i odsetek płatne w okresach kwartalnych. Ostateczny termin spłaty kredytu przypada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na dzień 3.12.2021 roku.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D2628E">
        <w:rPr>
          <w:rFonts w:ascii="Times New Roman" w:hAnsi="Times New Roman" w:cs="Times New Roman"/>
        </w:rPr>
        <w:t xml:space="preserve">    </w:t>
      </w:r>
      <w:r w:rsidR="008619EF">
        <w:rPr>
          <w:rFonts w:ascii="Times New Roman" w:hAnsi="Times New Roman" w:cs="Times New Roman"/>
        </w:rPr>
        <w:t>S</w:t>
      </w:r>
      <w:r w:rsidRPr="00D2628E">
        <w:rPr>
          <w:rFonts w:ascii="Times New Roman" w:hAnsi="Times New Roman" w:cs="Times New Roman"/>
        </w:rPr>
        <w:t>tan zadłużenia na 31.12.2016 r.- 2.600.000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4. Braniewsko-Pasłęckim Banku Spółdzielczym – kredyt w walucie polskiej w kwocie 613.823 zł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na  sfinansowanie  zobowiązań z tytułu spłat rat  kredytów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Raty kredytu i odsetek płatne w okresach kwartalnych. Ostateczny termin spłaty kredytu przypada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r w:rsidRPr="00D2628E">
        <w:rPr>
          <w:rFonts w:ascii="Times New Roman" w:hAnsi="Times New Roman" w:cs="Times New Roman"/>
        </w:rPr>
        <w:t xml:space="preserve">     na dzień 31.12.2023 r.    </w:t>
      </w:r>
      <w:r w:rsidR="00B340A7">
        <w:rPr>
          <w:rFonts w:ascii="Times New Roman" w:hAnsi="Times New Roman" w:cs="Times New Roman"/>
        </w:rPr>
        <w:t>S</w:t>
      </w:r>
      <w:r w:rsidRPr="00D2628E">
        <w:rPr>
          <w:rFonts w:ascii="Times New Roman" w:hAnsi="Times New Roman" w:cs="Times New Roman"/>
        </w:rPr>
        <w:t>tan zadłużenia na 31.12.2016 r.- 613.823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r w:rsidRPr="00D2628E">
        <w:rPr>
          <w:rFonts w:ascii="Times New Roman" w:hAnsi="Times New Roman" w:cs="Times New Roman"/>
          <w:b/>
          <w:bCs/>
        </w:rPr>
        <w:t xml:space="preserve">Pozostałe zobowiązania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 dniu 14 września 2011 roku zawarto ugodę z  PKO BP SA (następca prawny </w:t>
      </w:r>
      <w:proofErr w:type="spellStart"/>
      <w:r w:rsidRPr="00D2628E">
        <w:rPr>
          <w:rFonts w:ascii="Times New Roman" w:hAnsi="Times New Roman" w:cs="Times New Roman"/>
        </w:rPr>
        <w:t>Nordea</w:t>
      </w:r>
      <w:proofErr w:type="spellEnd"/>
      <w:r w:rsidRPr="00D2628E">
        <w:rPr>
          <w:rFonts w:ascii="Times New Roman" w:hAnsi="Times New Roman" w:cs="Times New Roman"/>
        </w:rPr>
        <w:t xml:space="preserve"> Bank Polska SA) m.in. w przedmiocie spłaty zobowiązań z tytułu - umowy Nr BKO-PLN-CBkgd-08-000017  z dnia 9.05.2008 roku – zobowiązanie w kwocie  2.497.500,13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Umowa ugody przewiduje spłatę zobowiązań w ratach miesięcznych. z końcowym terminem spłaty do 9 maja 2018 roku.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Spłata tego zobowiązania dokonywana jest z wydatków i nie stanowi rozchodów budżetu powiatu.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Biorąc pod uwagę zobowiązania powiatu z tytułu zaciągniętych kredytów oraz zobowiązania z tytułu zawartej ugody łącznie na dzień 31</w:t>
      </w:r>
      <w:r w:rsidR="00721C51">
        <w:rPr>
          <w:rFonts w:ascii="Times New Roman" w:hAnsi="Times New Roman" w:cs="Times New Roman"/>
        </w:rPr>
        <w:t xml:space="preserve"> grudnia 2016 roku  </w:t>
      </w:r>
      <w:r w:rsidRPr="00D2628E">
        <w:rPr>
          <w:rFonts w:ascii="Times New Roman" w:hAnsi="Times New Roman" w:cs="Times New Roman"/>
        </w:rPr>
        <w:t>dłu</w:t>
      </w:r>
      <w:r w:rsidR="00721C51">
        <w:rPr>
          <w:rFonts w:ascii="Times New Roman" w:hAnsi="Times New Roman" w:cs="Times New Roman"/>
        </w:rPr>
        <w:t xml:space="preserve">g Powiatu Braniewskiego wynosi </w:t>
      </w:r>
      <w:r w:rsidRPr="00D2628E">
        <w:rPr>
          <w:rFonts w:ascii="Times New Roman" w:hAnsi="Times New Roman" w:cs="Times New Roman"/>
        </w:rPr>
        <w:t xml:space="preserve"> 8.087.990</w:t>
      </w:r>
      <w:r w:rsidR="00721C51">
        <w:rPr>
          <w:rFonts w:ascii="Times New Roman" w:hAnsi="Times New Roman" w:cs="Times New Roman"/>
        </w:rPr>
        <w:t>,01</w:t>
      </w:r>
      <w:r w:rsidRPr="00D2628E">
        <w:rPr>
          <w:rFonts w:ascii="Times New Roman" w:hAnsi="Times New Roman" w:cs="Times New Roman"/>
        </w:rPr>
        <w:t xml:space="preserve">  zł,  w tym:</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z tytułu zaciągniętych zobowiązań kredytowych przez Powiat Braniewski  - 7.563.823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lastRenderedPageBreak/>
        <w:t xml:space="preserve">- z tytułu zobowiązań objętych ugodą, których spłata jest dokonywana z wydatków (w wartości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nominalnej)  - 524.167</w:t>
      </w:r>
      <w:r w:rsidR="00721C51">
        <w:rPr>
          <w:rFonts w:ascii="Times New Roman" w:hAnsi="Times New Roman" w:cs="Times New Roman"/>
        </w:rPr>
        <w:t>,01</w:t>
      </w:r>
      <w:r w:rsidRPr="00D2628E">
        <w:rPr>
          <w:rFonts w:ascii="Times New Roman" w:hAnsi="Times New Roman" w:cs="Times New Roman"/>
        </w:rPr>
        <w:t xml:space="preserve"> zł.</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721C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rPr>
      </w:pPr>
      <w:r w:rsidRPr="00D2628E">
        <w:rPr>
          <w:rFonts w:ascii="Times New Roman" w:hAnsi="Times New Roman" w:cs="Times New Roman"/>
        </w:rPr>
        <w:t>Zadłużenie Powiatu B</w:t>
      </w:r>
      <w:r w:rsidR="00721C51">
        <w:rPr>
          <w:rFonts w:ascii="Times New Roman" w:hAnsi="Times New Roman" w:cs="Times New Roman"/>
        </w:rPr>
        <w:t>raniewskiego na dzień 31.12.2018 roku zmniejszy</w:t>
      </w:r>
      <w:r w:rsidRPr="00D2628E">
        <w:rPr>
          <w:rFonts w:ascii="Times New Roman" w:hAnsi="Times New Roman" w:cs="Times New Roman"/>
        </w:rPr>
        <w:t xml:space="preserve">  s</w:t>
      </w:r>
      <w:r w:rsidR="00721C51">
        <w:rPr>
          <w:rFonts w:ascii="Times New Roman" w:hAnsi="Times New Roman" w:cs="Times New Roman"/>
        </w:rPr>
        <w:t xml:space="preserve">ię w stosunku do stanu na 31.12. 2016  roku o 370.000 zł. Na zmniejszenie planowanej kwoty długu wpływa  </w:t>
      </w:r>
      <w:r w:rsidRPr="00D2628E">
        <w:rPr>
          <w:rFonts w:ascii="Times New Roman" w:hAnsi="Times New Roman" w:cs="Times New Roman"/>
        </w:rPr>
        <w:t>spła</w:t>
      </w:r>
      <w:r w:rsidR="00721C51">
        <w:rPr>
          <w:rFonts w:ascii="Times New Roman" w:hAnsi="Times New Roman" w:cs="Times New Roman"/>
        </w:rPr>
        <w:t xml:space="preserve">ta zobowiązań objętych ugodą   w wysokości </w:t>
      </w:r>
      <w:r w:rsidRPr="00D2628E">
        <w:rPr>
          <w:rFonts w:ascii="Times New Roman" w:hAnsi="Times New Roman" w:cs="Times New Roman"/>
        </w:rPr>
        <w:t>370.000 zł.</w:t>
      </w:r>
    </w:p>
    <w:p w:rsidR="00721C51" w:rsidRDefault="00721C51"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D2628E">
        <w:rPr>
          <w:rFonts w:ascii="Times New Roman" w:hAnsi="Times New Roman" w:cs="Times New Roman"/>
        </w:rPr>
        <w:t xml:space="preserve">Sytuację finansową powiatu oraz prognozę kwoty długu w latach 2017-2025 przedstawia  załącznik  nr 1  </w:t>
      </w:r>
      <w:r w:rsidRPr="00D2628E">
        <w:rPr>
          <w:rFonts w:ascii="Times New Roman" w:hAnsi="Times New Roman" w:cs="Times New Roman"/>
          <w:color w:val="000000"/>
        </w:rPr>
        <w:t>do Uchwały Rady Powiatu w sprawie Wieloletniej Prognozy Finansowej na lata 2017-2025.</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D2628E">
        <w:rPr>
          <w:rFonts w:ascii="Times New Roman" w:hAnsi="Times New Roman" w:cs="Times New Roman"/>
        </w:rPr>
        <w:t>Ustawa o finansach publicznych z 27.08.2009 roku wprowadziła zasadnicze zmiany ograniczające możliwości zadłużania się jednostek samorządu terytorialnego, które po raz pierwszy miały zastosowanie przy opracowaniu projektów uchwał budżetowych na rok 2014.</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Według nowych przepisów roczna wartość spłat zobowiązań i kosztów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Przyjęte ustawowo reguły dotyczące co najmn</w:t>
      </w:r>
      <w:r w:rsidR="00721C51">
        <w:rPr>
          <w:rFonts w:ascii="Times New Roman" w:hAnsi="Times New Roman" w:cs="Times New Roman"/>
        </w:rPr>
        <w:t>iej zrównoważonego wyniku bieżą</w:t>
      </w:r>
      <w:r w:rsidRPr="00D2628E">
        <w:rPr>
          <w:rFonts w:ascii="Times New Roman" w:hAnsi="Times New Roman" w:cs="Times New Roman"/>
        </w:rPr>
        <w:t xml:space="preserve">cego oraz indywidualnego limitu zadłużenia mają zabezpieczyć jednostki samorządu terytorialnego przed utratą płynności finansowej i nadmiernym zadłużeniem.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Prognoza wskaźnika spłaty według nowej konstrukcji ogranicza możliwości spłaty podejmowanych  przez Powiat Braniewski zobowiązań.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Ocena zdolności kredytowej pozwala ustalić maksymalne wydatki majątkowe poprzez prognozę</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poziomu środków dla sfinansowania deficytu, poziomu kredytowania oraz obsługi zadłużenia.</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Możliwość spłaty już zaciągniętych zobowiązań uzależniona jest od: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rozwoju sytuacji makroekonomicznej kraju, w tym wzrostu gospodarczego, kształtowania się stopy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   bezrobocia, wysokości stóp procentowych,</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wysokości dochodów własnych powiatu,</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poziomu realizacji planowanych inwestycji i ich wpływu na poziom deficytu budżetowego.</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D2628E">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2628E">
        <w:rPr>
          <w:rFonts w:ascii="Times New Roman" w:hAnsi="Times New Roman" w:cs="Times New Roman"/>
        </w:rPr>
        <w:t>Celem osiągnięcia poziomu wynikającego z art. 243 ustawy o finansach publicznych z</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2628E">
        <w:rPr>
          <w:rFonts w:ascii="Times New Roman" w:hAnsi="Times New Roman" w:cs="Times New Roman"/>
        </w:rPr>
        <w:t xml:space="preserve"> 27 sierpnia 2009 roku planuje się dalszą racjonalizację i dyscyplinowanie wydatków bieżących,</w:t>
      </w:r>
    </w:p>
    <w:p w:rsidR="00D2628E" w:rsidRPr="00D2628E" w:rsidRDefault="00D2628E" w:rsidP="00D262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2628E">
        <w:rPr>
          <w:rFonts w:ascii="Times New Roman" w:hAnsi="Times New Roman" w:cs="Times New Roman"/>
        </w:rPr>
        <w:t>intensyfikację działań na rzecz zwiększenia dochodów własnych powiatu oraz  realizację inwestycji w ramach środków własnych oraz przy zapewnieniu dofinansowania zewnętrznego, bez zwiększania zadłużenia powiatu.</w:t>
      </w:r>
    </w:p>
    <w:p w:rsidR="00D2628E" w:rsidRPr="00D2628E" w:rsidRDefault="00D2628E" w:rsidP="00D2628E">
      <w:pPr>
        <w:widowControl w:val="0"/>
        <w:autoSpaceDE w:val="0"/>
        <w:autoSpaceDN w:val="0"/>
        <w:adjustRightInd w:val="0"/>
        <w:spacing w:after="0" w:line="240" w:lineRule="auto"/>
        <w:rPr>
          <w:rFonts w:ascii="Times New Roman" w:hAnsi="Times New Roman" w:cs="Times New Roman"/>
        </w:rPr>
      </w:pPr>
    </w:p>
    <w:p w:rsidR="00E77101" w:rsidRDefault="00E77101"/>
    <w:sectPr w:rsidR="00E77101" w:rsidSect="003B2761">
      <w:pgSz w:w="11907" w:h="16840"/>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 w:ilvl="1">
      <w:start w:val="1"/>
      <w:numFmt w:val="lowerLetter"/>
      <w:lvlText w:val="%2)"/>
      <w:lvlJc w:val="left"/>
      <w:pPr>
        <w:ind w:left="1080" w:hanging="360"/>
      </w:pPr>
      <w:rPr>
        <w:rFonts w:ascii="Times New Roman" w:hAnsi="Times New Roman" w:cs="Times New Roman"/>
        <w:b w:val="0"/>
        <w:bCs w:val="0"/>
        <w:i w:val="0"/>
        <w:iCs w:val="0"/>
        <w:strike w:val="0"/>
        <w:color w:val="auto"/>
        <w:sz w:val="22"/>
        <w:szCs w:val="22"/>
        <w:u w:val="none"/>
      </w:rPr>
    </w:lvl>
    <w:lvl w:ilvl="2">
      <w:start w:val="1"/>
      <w:numFmt w:val="lowerLetter"/>
      <w:lvlText w:val="%3)"/>
      <w:lvlJc w:val="left"/>
      <w:pPr>
        <w:ind w:left="1440" w:hanging="360"/>
      </w:pPr>
      <w:rPr>
        <w:rFonts w:ascii="Times New Roman" w:hAnsi="Times New Roman" w:cs="Times New Roman"/>
        <w:b w:val="0"/>
        <w:bCs w:val="0"/>
        <w:i w:val="0"/>
        <w:iCs w:val="0"/>
        <w:strike w:val="0"/>
        <w:color w:val="auto"/>
        <w:sz w:val="22"/>
        <w:szCs w:val="22"/>
        <w:u w:val="none"/>
      </w:rPr>
    </w:lvl>
    <w:lvl w:ilvl="3">
      <w:start w:val="1"/>
      <w:numFmt w:val="lowerLetter"/>
      <w:lvlText w:val="%4)"/>
      <w:lvlJc w:val="left"/>
      <w:pPr>
        <w:ind w:left="1800" w:hanging="360"/>
      </w:pPr>
      <w:rPr>
        <w:rFonts w:ascii="Times New Roman" w:hAnsi="Times New Roman" w:cs="Times New Roman"/>
        <w:b w:val="0"/>
        <w:bCs w:val="0"/>
        <w:i w:val="0"/>
        <w:iCs w:val="0"/>
        <w:strike w:val="0"/>
        <w:color w:val="auto"/>
        <w:sz w:val="22"/>
        <w:szCs w:val="22"/>
        <w:u w:val="none"/>
      </w:rPr>
    </w:lvl>
    <w:lvl w:ilvl="4">
      <w:start w:val="1"/>
      <w:numFmt w:val="lowerLetter"/>
      <w:lvlText w:val="%5)"/>
      <w:lvlJc w:val="left"/>
      <w:pPr>
        <w:ind w:left="2160" w:hanging="360"/>
      </w:pPr>
      <w:rPr>
        <w:rFonts w:ascii="Times New Roman" w:hAnsi="Times New Roman" w:cs="Times New Roman"/>
        <w:b w:val="0"/>
        <w:bCs w:val="0"/>
        <w:i w:val="0"/>
        <w:iCs w:val="0"/>
        <w:strike w:val="0"/>
        <w:color w:val="auto"/>
        <w:sz w:val="22"/>
        <w:szCs w:val="22"/>
        <w:u w:val="none"/>
      </w:rPr>
    </w:lvl>
    <w:lvl w:ilvl="5">
      <w:start w:val="1"/>
      <w:numFmt w:val="lowerLetter"/>
      <w:lvlText w:val="%6)"/>
      <w:lvlJc w:val="left"/>
      <w:pPr>
        <w:ind w:left="2520" w:hanging="360"/>
      </w:pPr>
      <w:rPr>
        <w:rFonts w:ascii="Times New Roman" w:hAnsi="Times New Roman" w:cs="Times New Roman"/>
        <w:b w:val="0"/>
        <w:bCs w:val="0"/>
        <w:i w:val="0"/>
        <w:iCs w:val="0"/>
        <w:strike w:val="0"/>
        <w:color w:val="auto"/>
        <w:sz w:val="22"/>
        <w:szCs w:val="22"/>
        <w:u w:val="none"/>
      </w:rPr>
    </w:lvl>
    <w:lvl w:ilvl="6">
      <w:start w:val="1"/>
      <w:numFmt w:val="lowerLetter"/>
      <w:lvlText w:val="%7)"/>
      <w:lvlJc w:val="left"/>
      <w:pPr>
        <w:ind w:left="2880" w:hanging="360"/>
      </w:pPr>
      <w:rPr>
        <w:rFonts w:ascii="Times New Roman" w:hAnsi="Times New Roman" w:cs="Times New Roman"/>
        <w:b w:val="0"/>
        <w:bCs w:val="0"/>
        <w:i w:val="0"/>
        <w:iCs w:val="0"/>
        <w:strike w:val="0"/>
        <w:color w:val="auto"/>
        <w:sz w:val="22"/>
        <w:szCs w:val="22"/>
        <w:u w:val="none"/>
      </w:rPr>
    </w:lvl>
    <w:lvl w:ilvl="7">
      <w:start w:val="1"/>
      <w:numFmt w:val="lowerLetter"/>
      <w:lvlText w:val="%8)"/>
      <w:lvlJc w:val="left"/>
      <w:pPr>
        <w:ind w:left="3240" w:hanging="360"/>
      </w:pPr>
      <w:rPr>
        <w:rFonts w:ascii="Times New Roman" w:hAnsi="Times New Roman" w:cs="Times New Roman"/>
        <w:b w:val="0"/>
        <w:bCs w:val="0"/>
        <w:i w:val="0"/>
        <w:iCs w:val="0"/>
        <w:strike w:val="0"/>
        <w:color w:val="auto"/>
        <w:sz w:val="22"/>
        <w:szCs w:val="22"/>
        <w:u w:val="none"/>
      </w:rPr>
    </w:lvl>
    <w:lvl w:ilvl="8">
      <w:start w:val="1"/>
      <w:numFmt w:val="lowerLetter"/>
      <w:lvlText w:val="%9)"/>
      <w:lvlJc w:val="left"/>
      <w:pPr>
        <w:ind w:left="3600" w:hanging="360"/>
      </w:pPr>
      <w:rPr>
        <w:rFonts w:ascii="Times New Roman" w:hAnsi="Times New Roman" w:cs="Times New Roman"/>
        <w:b w:val="0"/>
        <w:bCs w:val="0"/>
        <w:i w:val="0"/>
        <w:iCs w:val="0"/>
        <w:strike w:val="0"/>
        <w:color w:val="auto"/>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E1"/>
    <w:rsid w:val="000E3009"/>
    <w:rsid w:val="003A5629"/>
    <w:rsid w:val="003B2761"/>
    <w:rsid w:val="00721C51"/>
    <w:rsid w:val="008619EF"/>
    <w:rsid w:val="008A042A"/>
    <w:rsid w:val="00A56401"/>
    <w:rsid w:val="00B340A7"/>
    <w:rsid w:val="00BC22E1"/>
    <w:rsid w:val="00C874D3"/>
    <w:rsid w:val="00D2628E"/>
    <w:rsid w:val="00E77101"/>
    <w:rsid w:val="00EB653A"/>
    <w:rsid w:val="00EE3F2D"/>
    <w:rsid w:val="00FE13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3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3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3F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3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3689</Words>
  <Characters>22134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Braniewie</dc:creator>
  <cp:keywords/>
  <dc:description/>
  <cp:lastModifiedBy>Starostwo Braniewo</cp:lastModifiedBy>
  <cp:revision>8</cp:revision>
  <cp:lastPrinted>2017-03-31T10:32:00Z</cp:lastPrinted>
  <dcterms:created xsi:type="dcterms:W3CDTF">2017-03-21T12:25:00Z</dcterms:created>
  <dcterms:modified xsi:type="dcterms:W3CDTF">2017-03-31T10:32:00Z</dcterms:modified>
</cp:coreProperties>
</file>