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 w:rsidRPr="00D4159B">
        <w:rPr>
          <w:rFonts w:ascii="Tahoma" w:eastAsia="TimesNewRoman" w:hAnsi="Tahoma" w:cs="Tahoma"/>
          <w:sz w:val="20"/>
          <w:szCs w:val="20"/>
        </w:rPr>
        <w:t xml:space="preserve">STWiOR- 01.02 – </w:t>
      </w:r>
      <w:r w:rsidR="0051257F">
        <w:rPr>
          <w:rFonts w:ascii="Tahoma" w:eastAsia="TimesNewRoman" w:hAnsi="Tahoma" w:cs="Tahoma"/>
          <w:sz w:val="20"/>
          <w:szCs w:val="20"/>
        </w:rPr>
        <w:t>Roboty t</w:t>
      </w:r>
      <w:r w:rsidRPr="00D4159B">
        <w:rPr>
          <w:rFonts w:ascii="Tahoma" w:eastAsia="TimesNewRoman" w:hAnsi="Tahoma" w:cs="Tahoma"/>
          <w:sz w:val="20"/>
          <w:szCs w:val="20"/>
        </w:rPr>
        <w:t>ynkowe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4159B">
        <w:rPr>
          <w:rFonts w:ascii="Tahoma" w:hAnsi="Tahoma" w:cs="Tahoma"/>
          <w:b/>
          <w:color w:val="000000"/>
          <w:sz w:val="20"/>
          <w:szCs w:val="20"/>
        </w:rPr>
        <w:t>„Przebudowa budynku Powiatowego Domu Pomocy Społecznej przy ul.Królewieckiej 35 w Braniewie – dostosowanie budynku do wymagań przepisów przeciwpożarowych”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 w:rsidRPr="00D4159B">
        <w:rPr>
          <w:rFonts w:ascii="Tahoma" w:eastAsia="TimesNewRoman" w:hAnsi="Tahoma" w:cs="Tahoma"/>
          <w:sz w:val="20"/>
          <w:szCs w:val="20"/>
        </w:rPr>
        <w:t>STWiOR – 01.02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 w:rsidRPr="00D4159B">
        <w:rPr>
          <w:rFonts w:ascii="Tahoma" w:eastAsia="TimesNewRoman" w:hAnsi="Tahoma" w:cs="Tahoma"/>
          <w:sz w:val="20"/>
          <w:szCs w:val="20"/>
        </w:rPr>
        <w:t>SPECYFIKACJA TECHNICZNA WYKONANIA I ODBIORU ROBÓT TYNKARSKICH (STO)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Zamawiający: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D4159B">
        <w:rPr>
          <w:rFonts w:ascii="Tahoma" w:hAnsi="Tahoma" w:cs="Tahoma"/>
          <w:b/>
          <w:bCs/>
          <w:sz w:val="20"/>
          <w:szCs w:val="20"/>
        </w:rPr>
        <w:t>Powiatowy Dom Pomocy Społecznej w Braniewie, 14-500 Braniewo, ul.Królewiecka 35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Wykonawca: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…………………………………………………………….................…………………………...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………………………………………………...................………………………………………….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Wykonał:                                                                                               Zatwierdził: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mgr inż. Cezary Sokół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jc w:val="center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Braniewo,  Maj 2023r</w:t>
      </w:r>
    </w:p>
    <w:p w:rsidR="002800BF" w:rsidRPr="00D4159B" w:rsidRDefault="002800BF">
      <w:pPr>
        <w:rPr>
          <w:rFonts w:ascii="Tahoma" w:hAnsi="Tahoma" w:cs="Tahoma"/>
          <w:sz w:val="20"/>
          <w:szCs w:val="20"/>
        </w:rPr>
      </w:pPr>
    </w:p>
    <w:p w:rsidR="00D4159B" w:rsidRPr="00D4159B" w:rsidRDefault="00D4159B">
      <w:pPr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lastRenderedPageBreak/>
        <w:t>SPIS TREŚCI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1. WSTĘP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2. MATERIAŁY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3. SPRZĘT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4. TRANSPORT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5. WYMAGANIA DOTYCZĄCE WYKONANIA ROBÓT BUDOWLANYCH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6. KONTROLA JAKOŚCI ROBÓT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7. OBMIAR ROBÓT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8. ODBIÓR ROBÓT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9. PODSTAWA PŁATNOŚCI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10. AKTY PRAWNE I NORMY ORAZ PRZEPISY ZWIĄZANE</w:t>
      </w: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lastRenderedPageBreak/>
        <w:t>1. WSTĘP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1.1. Przedmiot opracowania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Przedmiotem niniejszego opracowania jest usystematyzowanie </w:t>
      </w:r>
      <w:r w:rsidR="00C57F2A" w:rsidRPr="00D4159B">
        <w:rPr>
          <w:rFonts w:ascii="Tahoma" w:hAnsi="Tahoma" w:cs="Tahoma"/>
          <w:sz w:val="20"/>
          <w:szCs w:val="20"/>
        </w:rPr>
        <w:t>zbiorów</w:t>
      </w:r>
      <w:r w:rsidRPr="00D4159B">
        <w:rPr>
          <w:rFonts w:ascii="Tahoma" w:hAnsi="Tahoma" w:cs="Tahoma"/>
          <w:sz w:val="20"/>
          <w:szCs w:val="20"/>
        </w:rPr>
        <w:t xml:space="preserve"> wymagań dotyczących: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zakresu i technologii wykonywania robot,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właściwości </w:t>
      </w:r>
      <w:r w:rsidR="00A7495E" w:rsidRPr="008439B7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i </w:t>
      </w:r>
      <w:r w:rsidR="00A7495E" w:rsidRPr="008439B7">
        <w:rPr>
          <w:rFonts w:ascii="Tahoma" w:hAnsi="Tahoma" w:cs="Tahoma"/>
          <w:sz w:val="20"/>
          <w:szCs w:val="20"/>
        </w:rPr>
        <w:t>wyrobów</w:t>
      </w:r>
      <w:r w:rsidRPr="00D4159B">
        <w:rPr>
          <w:rFonts w:ascii="Tahoma" w:hAnsi="Tahoma" w:cs="Tahoma"/>
          <w:sz w:val="20"/>
          <w:szCs w:val="20"/>
        </w:rPr>
        <w:t xml:space="preserve"> budowlanych,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oceny prawidłowości wykonania </w:t>
      </w:r>
      <w:r w:rsidR="00A7495E" w:rsidRPr="008439B7">
        <w:rPr>
          <w:rFonts w:ascii="Tahoma" w:hAnsi="Tahoma" w:cs="Tahoma"/>
          <w:sz w:val="20"/>
          <w:szCs w:val="20"/>
        </w:rPr>
        <w:t>poszczególnych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C57F2A" w:rsidRPr="00D4159B">
        <w:rPr>
          <w:rFonts w:ascii="Tahoma" w:hAnsi="Tahoma" w:cs="Tahoma"/>
          <w:sz w:val="20"/>
          <w:szCs w:val="20"/>
        </w:rPr>
        <w:t>etapów</w:t>
      </w:r>
      <w:r w:rsidRPr="00D4159B">
        <w:rPr>
          <w:rFonts w:ascii="Tahoma" w:hAnsi="Tahoma" w:cs="Tahoma"/>
          <w:sz w:val="20"/>
          <w:szCs w:val="20"/>
        </w:rPr>
        <w:t xml:space="preserve"> robot</w:t>
      </w:r>
    </w:p>
    <w:p w:rsidR="00A7495E" w:rsidRPr="008439B7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podczas prowadzenia robót tynkarskich dla zadania p.n. </w:t>
      </w:r>
      <w:r w:rsidR="00A7495E" w:rsidRPr="008439B7">
        <w:rPr>
          <w:rFonts w:ascii="Tahoma" w:hAnsi="Tahoma" w:cs="Tahoma"/>
          <w:b/>
          <w:color w:val="000000"/>
          <w:sz w:val="20"/>
          <w:szCs w:val="20"/>
        </w:rPr>
        <w:t>„Przebudowa budynku Powiatowego Domu Pomocy Społecznej przy ul.Królewieckiej 35 w Braniewie – dostosowanie budynku do wymagań przepisów przeciwpożarowych”</w:t>
      </w:r>
    </w:p>
    <w:p w:rsidR="00D4159B" w:rsidRPr="00D4159B" w:rsidRDefault="00A7495E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39B7"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 xml:space="preserve">wykonanie </w:t>
      </w:r>
      <w:r w:rsidRPr="008439B7">
        <w:rPr>
          <w:rFonts w:ascii="Tahoma" w:hAnsi="Tahoma" w:cs="Tahoma"/>
          <w:sz w:val="20"/>
          <w:szCs w:val="20"/>
        </w:rPr>
        <w:t>tynków</w:t>
      </w:r>
      <w:r w:rsidR="00D4159B" w:rsidRPr="00D4159B">
        <w:rPr>
          <w:rFonts w:ascii="Tahoma" w:hAnsi="Tahoma" w:cs="Tahoma"/>
          <w:sz w:val="20"/>
          <w:szCs w:val="20"/>
        </w:rPr>
        <w:t xml:space="preserve"> cementowo-wapiennych;</w:t>
      </w:r>
    </w:p>
    <w:p w:rsidR="00D4159B" w:rsidRDefault="00A7495E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39B7"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>wykonanie gładzi gipsowych;</w:t>
      </w:r>
    </w:p>
    <w:p w:rsidR="00685E58" w:rsidRPr="00D4159B" w:rsidRDefault="00685E58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-wykonanie okładzin Nida tynk - ogień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w miejscach po </w:t>
      </w:r>
      <w:r w:rsidR="00A7495E" w:rsidRPr="008439B7">
        <w:rPr>
          <w:rFonts w:ascii="Tahoma" w:hAnsi="Tahoma" w:cs="Tahoma"/>
          <w:sz w:val="20"/>
          <w:szCs w:val="20"/>
        </w:rPr>
        <w:t>demontażach</w:t>
      </w:r>
      <w:r w:rsidRPr="00D4159B">
        <w:rPr>
          <w:rFonts w:ascii="Tahoma" w:hAnsi="Tahoma" w:cs="Tahoma"/>
          <w:sz w:val="20"/>
          <w:szCs w:val="20"/>
        </w:rPr>
        <w:t xml:space="preserve">, </w:t>
      </w:r>
      <w:r w:rsidR="00A7495E" w:rsidRPr="008439B7">
        <w:rPr>
          <w:rFonts w:ascii="Tahoma" w:hAnsi="Tahoma" w:cs="Tahoma"/>
          <w:sz w:val="20"/>
          <w:szCs w:val="20"/>
        </w:rPr>
        <w:t>rozbiórkach</w:t>
      </w:r>
      <w:r w:rsidRPr="00D4159B">
        <w:rPr>
          <w:rFonts w:ascii="Tahoma" w:hAnsi="Tahoma" w:cs="Tahoma"/>
          <w:sz w:val="20"/>
          <w:szCs w:val="20"/>
        </w:rPr>
        <w:t>, uzupełnieniach ścian istniejących, ewent.</w:t>
      </w:r>
      <w:r w:rsidR="00A7495E" w:rsidRPr="008439B7">
        <w:rPr>
          <w:rFonts w:ascii="Tahoma" w:hAnsi="Tahoma" w:cs="Tahoma"/>
          <w:sz w:val="20"/>
          <w:szCs w:val="20"/>
        </w:rPr>
        <w:t xml:space="preserve"> wyrównywaniu ścian istniejących, podanych pracom demontażowo-rozbió</w:t>
      </w:r>
      <w:r w:rsidRPr="00D4159B">
        <w:rPr>
          <w:rFonts w:ascii="Tahoma" w:hAnsi="Tahoma" w:cs="Tahoma"/>
          <w:sz w:val="20"/>
          <w:szCs w:val="20"/>
        </w:rPr>
        <w:t>rkowym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1.2 Zakres stosowania SSTWiOR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Specyfikacja techniczna stanowi dokument przetargowy przy zleceniu i realizacji robot. Specyfikacja</w:t>
      </w:r>
      <w:r w:rsidR="00685E5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uwzględnia wymagania Zamawiającego oraz konkretne warunki ich realizacji, </w:t>
      </w:r>
      <w:r w:rsidR="00750D5C" w:rsidRPr="008439B7">
        <w:rPr>
          <w:rFonts w:ascii="Tahoma" w:hAnsi="Tahoma" w:cs="Tahoma"/>
          <w:sz w:val="20"/>
          <w:szCs w:val="20"/>
        </w:rPr>
        <w:t>które</w:t>
      </w:r>
      <w:r w:rsidRPr="00D4159B">
        <w:rPr>
          <w:rFonts w:ascii="Tahoma" w:hAnsi="Tahoma" w:cs="Tahoma"/>
          <w:sz w:val="20"/>
          <w:szCs w:val="20"/>
        </w:rPr>
        <w:t xml:space="preserve"> są niezbędne do</w:t>
      </w:r>
      <w:r w:rsidR="00685E5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określenia ich standardu i jakości.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1.3 Przedmiot i zakres robót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Specyfikacja techniczna obejmuje wszystkie czynności </w:t>
      </w:r>
      <w:r w:rsidR="008439B7" w:rsidRPr="008439B7">
        <w:rPr>
          <w:rFonts w:ascii="Tahoma" w:hAnsi="Tahoma" w:cs="Tahoma"/>
          <w:sz w:val="20"/>
          <w:szCs w:val="20"/>
        </w:rPr>
        <w:t>umożliwiające</w:t>
      </w:r>
      <w:r w:rsidRPr="00D4159B">
        <w:rPr>
          <w:rFonts w:ascii="Tahoma" w:hAnsi="Tahoma" w:cs="Tahoma"/>
          <w:sz w:val="20"/>
          <w:szCs w:val="20"/>
        </w:rPr>
        <w:t xml:space="preserve"> i mające na celu wykonanie</w:t>
      </w:r>
      <w:r w:rsidR="008439B7" w:rsidRPr="008439B7">
        <w:rPr>
          <w:rFonts w:ascii="Tahoma" w:hAnsi="Tahoma" w:cs="Tahoma"/>
          <w:sz w:val="20"/>
          <w:szCs w:val="20"/>
        </w:rPr>
        <w:t xml:space="preserve"> tynków</w:t>
      </w:r>
      <w:r w:rsidRPr="00D4159B">
        <w:rPr>
          <w:rFonts w:ascii="Tahoma" w:hAnsi="Tahoma" w:cs="Tahoma"/>
          <w:sz w:val="20"/>
          <w:szCs w:val="20"/>
        </w:rPr>
        <w:t xml:space="preserve"> cementowo – wapiennych, gładzi gipsowych i okładzin z płyt GKB wewnątrz pomieszczeń</w:t>
      </w:r>
      <w:r w:rsidR="00685E5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objętych opracowaniem: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wykonaniem tynków cementowo-wapiennych wraz z wszelkimi robotami towarzyszącymi,</w:t>
      </w:r>
      <w:r w:rsidR="008439B7" w:rsidRPr="008439B7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niezbędnymi do ich wykonania,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wykonaniem gładzi gipsowych wraz z wszelkimi robotami towarzyszącymi, niezbędnymi do ich</w:t>
      </w:r>
      <w:r w:rsidR="00685E5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wykonania,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Prace </w:t>
      </w:r>
      <w:r w:rsidR="00685E58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wykonać zgodnie z dokumentacją projektową opracowaną na potrzeby przedmiotowej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inwestycji.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1.4 Określenie podstawowych definicji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Określenia podane w niniejszej Specyfikacji technicznej są zgodne z STO oraz obowiązującymi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normami i przepisami.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1.5 Ogólne wymagania dotyczące robót</w:t>
      </w:r>
    </w:p>
    <w:p w:rsidR="00D4159B" w:rsidRPr="00D4159B" w:rsidRDefault="002B2AAA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Ogólne</w:t>
      </w:r>
      <w:r w:rsidR="00D4159B" w:rsidRPr="00D4159B">
        <w:rPr>
          <w:rFonts w:ascii="Tahoma" w:hAnsi="Tahoma" w:cs="Tahoma"/>
          <w:sz w:val="20"/>
          <w:szCs w:val="20"/>
        </w:rPr>
        <w:t xml:space="preserve"> wymagania dotyczące robot podano w STO.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Wykonawca jest odpowiedzialny za jakość wykonania robot oraz za zgodność z dokumentacją</w:t>
      </w:r>
      <w:r w:rsidR="002B2AA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projektową, Specyfikacją techniczną, wytycznymi dostarczonymi przez producenta </w:t>
      </w:r>
      <w:r w:rsidR="002B2AAA" w:rsidRPr="00D4159B">
        <w:rPr>
          <w:rFonts w:ascii="Tahoma" w:hAnsi="Tahoma" w:cs="Tahoma"/>
          <w:sz w:val="20"/>
          <w:szCs w:val="20"/>
        </w:rPr>
        <w:t>materiałów</w:t>
      </w:r>
      <w:r w:rsidR="002B2AAA">
        <w:rPr>
          <w:rFonts w:ascii="Tahoma" w:hAnsi="Tahoma" w:cs="Tahoma"/>
          <w:sz w:val="20"/>
          <w:szCs w:val="20"/>
        </w:rPr>
        <w:t xml:space="preserve"> u</w:t>
      </w:r>
      <w:r w:rsidR="002B2AAA" w:rsidRPr="00D4159B">
        <w:rPr>
          <w:rFonts w:ascii="Tahoma" w:hAnsi="Tahoma" w:cs="Tahoma"/>
          <w:sz w:val="20"/>
          <w:szCs w:val="20"/>
        </w:rPr>
        <w:t>żytych</w:t>
      </w:r>
      <w:r w:rsidRPr="00D4159B">
        <w:rPr>
          <w:rFonts w:ascii="Tahoma" w:hAnsi="Tahoma" w:cs="Tahoma"/>
          <w:sz w:val="20"/>
          <w:szCs w:val="20"/>
        </w:rPr>
        <w:t xml:space="preserve"> do wykonania </w:t>
      </w:r>
      <w:r w:rsidR="002B2AAA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, kartami technicznymi </w:t>
      </w:r>
      <w:r w:rsidR="002B2AAA" w:rsidRPr="00D4159B">
        <w:rPr>
          <w:rFonts w:ascii="Tahoma" w:hAnsi="Tahoma" w:cs="Tahoma"/>
          <w:sz w:val="20"/>
          <w:szCs w:val="20"/>
        </w:rPr>
        <w:t>produktów</w:t>
      </w:r>
      <w:r w:rsidRPr="00D4159B">
        <w:rPr>
          <w:rFonts w:ascii="Tahoma" w:hAnsi="Tahoma" w:cs="Tahoma"/>
          <w:sz w:val="20"/>
          <w:szCs w:val="20"/>
        </w:rPr>
        <w:t>, poleceniami Inspektora nadzoru</w:t>
      </w:r>
      <w:r w:rsidR="002B2AA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oraz sztuka budowlaną.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1.6 Dokumentacja robót budowlanych objętych SSTWiOR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Dokumentację robot budowlanych związanych z tynkami stanowią: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-Projekt,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-SSTWiOR,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-Dziennik budowy,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-Dokumenty świadczące o dopuszczeniu do obrotu powszechnego lub jednostkowego zastosowania</w:t>
      </w:r>
      <w:r w:rsidR="002B2AAA">
        <w:rPr>
          <w:rFonts w:ascii="Tahoma" w:hAnsi="Tahoma" w:cs="Tahoma"/>
          <w:sz w:val="20"/>
          <w:szCs w:val="20"/>
        </w:rPr>
        <w:t xml:space="preserve"> u</w:t>
      </w:r>
      <w:r w:rsidR="002B2AAA" w:rsidRPr="00D4159B">
        <w:rPr>
          <w:rFonts w:ascii="Tahoma" w:hAnsi="Tahoma" w:cs="Tahoma"/>
          <w:sz w:val="20"/>
          <w:szCs w:val="20"/>
        </w:rPr>
        <w:t>żytych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2B2AAA" w:rsidRPr="00D4159B">
        <w:rPr>
          <w:rFonts w:ascii="Tahoma" w:hAnsi="Tahoma" w:cs="Tahoma"/>
          <w:sz w:val="20"/>
          <w:szCs w:val="20"/>
        </w:rPr>
        <w:t>wyrobów</w:t>
      </w:r>
      <w:r w:rsidRPr="00D4159B">
        <w:rPr>
          <w:rFonts w:ascii="Tahoma" w:hAnsi="Tahoma" w:cs="Tahoma"/>
          <w:sz w:val="20"/>
          <w:szCs w:val="20"/>
        </w:rPr>
        <w:t xml:space="preserve"> budowlanych zgodnie z Ustawą z 16 kwietnia 2004r o wyrobach budowlanych</w:t>
      </w:r>
      <w:r w:rsidR="002B2AA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(Dz.U.z 2004 Nr 92 poz. 881),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-Protokoły </w:t>
      </w:r>
      <w:r w:rsidR="002B2AAA" w:rsidRPr="00D4159B">
        <w:rPr>
          <w:rFonts w:ascii="Tahoma" w:hAnsi="Tahoma" w:cs="Tahoma"/>
          <w:sz w:val="20"/>
          <w:szCs w:val="20"/>
        </w:rPr>
        <w:t>odbiorów</w:t>
      </w:r>
      <w:r w:rsidRPr="00D4159B">
        <w:rPr>
          <w:rFonts w:ascii="Tahoma" w:hAnsi="Tahoma" w:cs="Tahoma"/>
          <w:sz w:val="20"/>
          <w:szCs w:val="20"/>
        </w:rPr>
        <w:t xml:space="preserve"> częściowych, końcowych i robot zanikających,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-Dokumentacja powykonawcza z naniesionymi zmianami dokonanymi w toku wykonywania robot.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1.7 Nazwy i kody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Nazwa i kod wg. Wspólnego Słownika Zamówień ( CPV)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Grupa, klasa lub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kategoria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KOD Nazwa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Grupa robot 45400000-1 Roboty wykończeniowe w zakresie </w:t>
      </w:r>
      <w:r w:rsidR="002B2AAA" w:rsidRPr="00D4159B">
        <w:rPr>
          <w:rFonts w:ascii="Tahoma" w:hAnsi="Tahoma" w:cs="Tahoma"/>
          <w:sz w:val="20"/>
          <w:szCs w:val="20"/>
        </w:rPr>
        <w:t>obiektów</w:t>
      </w:r>
      <w:r w:rsidR="002B2AA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budowlanych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Klasa robot </w:t>
      </w:r>
      <w:r w:rsidR="00DF7E45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45410000-4 Tynkowanie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2. MATERIAŁY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Wymagania </w:t>
      </w:r>
      <w:r w:rsidR="002B2AAA" w:rsidRPr="00D4159B">
        <w:rPr>
          <w:rFonts w:ascii="Tahoma" w:hAnsi="Tahoma" w:cs="Tahoma"/>
          <w:sz w:val="20"/>
          <w:szCs w:val="20"/>
        </w:rPr>
        <w:t>ogólne</w:t>
      </w:r>
      <w:r w:rsidRPr="00D4159B">
        <w:rPr>
          <w:rFonts w:ascii="Tahoma" w:hAnsi="Tahoma" w:cs="Tahoma"/>
          <w:sz w:val="20"/>
          <w:szCs w:val="20"/>
        </w:rPr>
        <w:t xml:space="preserve"> dotyczące </w:t>
      </w:r>
      <w:r w:rsidR="002B2AAA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podano w STO.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Materiały stosowane do wykonania </w:t>
      </w:r>
      <w:r w:rsidR="002B2AAA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powinny mieć: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-oznakowanie znakiem CE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-certyfikat zgodności ITB / aprobatę techniczną ITB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lastRenderedPageBreak/>
        <w:t>-oznakowanie znakiem budowlanym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2.1. Materiały do wykonania tynków cementowo - wapiennych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Zaprawa budowlana cementowo-wapienna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Marka i skład zaprawy powinny być zgodne z wymaganiami normy PN-90/B-14501 „Zaprawy</w:t>
      </w:r>
      <w:r w:rsidR="002B2AA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budowlane zwykłe”.</w:t>
      </w:r>
    </w:p>
    <w:p w:rsidR="00D4159B" w:rsidRPr="00D4159B" w:rsidRDefault="002B2AAA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Należy</w:t>
      </w:r>
      <w:r w:rsidR="00D4159B" w:rsidRPr="00D4159B">
        <w:rPr>
          <w:rFonts w:ascii="Tahoma" w:hAnsi="Tahoma" w:cs="Tahoma"/>
          <w:sz w:val="20"/>
          <w:szCs w:val="20"/>
        </w:rPr>
        <w:t xml:space="preserve"> stosować zaprawy cementowo-wapienne w tynkach nie </w:t>
      </w:r>
      <w:r w:rsidRPr="00D4159B">
        <w:rPr>
          <w:rFonts w:ascii="Tahoma" w:hAnsi="Tahoma" w:cs="Tahoma"/>
          <w:sz w:val="20"/>
          <w:szCs w:val="20"/>
        </w:rPr>
        <w:t>narażonych</w:t>
      </w:r>
      <w:r w:rsidR="00D4159B" w:rsidRPr="00D4159B">
        <w:rPr>
          <w:rFonts w:ascii="Tahoma" w:hAnsi="Tahoma" w:cs="Tahoma"/>
          <w:sz w:val="20"/>
          <w:szCs w:val="20"/>
        </w:rPr>
        <w:t xml:space="preserve"> na zawilgocenie o stosunku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l: l :4, w tynkach </w:t>
      </w:r>
      <w:r w:rsidR="002B2AAA" w:rsidRPr="00D4159B">
        <w:rPr>
          <w:rFonts w:ascii="Tahoma" w:hAnsi="Tahoma" w:cs="Tahoma"/>
          <w:sz w:val="20"/>
          <w:szCs w:val="20"/>
        </w:rPr>
        <w:t>narażonych</w:t>
      </w:r>
      <w:r w:rsidRPr="00D4159B">
        <w:rPr>
          <w:rFonts w:ascii="Tahoma" w:hAnsi="Tahoma" w:cs="Tahoma"/>
          <w:sz w:val="20"/>
          <w:szCs w:val="20"/>
        </w:rPr>
        <w:t xml:space="preserve"> na zawilgocenie 1:1:2.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Przygotowanie zapraw do robot tynkarskich powinno być wykonywane mechanicznie.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Do zaprawy cementowo-wapiennej </w:t>
      </w:r>
      <w:r w:rsidR="002B2AAA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stosować cement portlandzki według normy PN-B-19701</w:t>
      </w:r>
      <w:r w:rsidR="002B2AA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;1997 „Cementy powszechnego </w:t>
      </w:r>
      <w:r w:rsidR="002B2AAA" w:rsidRPr="00D4159B">
        <w:rPr>
          <w:rFonts w:ascii="Tahoma" w:hAnsi="Tahoma" w:cs="Tahoma"/>
          <w:sz w:val="20"/>
          <w:szCs w:val="20"/>
        </w:rPr>
        <w:t>Użytku</w:t>
      </w:r>
      <w:r w:rsidRPr="00D4159B">
        <w:rPr>
          <w:rFonts w:ascii="Tahoma" w:hAnsi="Tahoma" w:cs="Tahoma"/>
          <w:sz w:val="20"/>
          <w:szCs w:val="20"/>
        </w:rPr>
        <w:t>”.</w:t>
      </w:r>
      <w:r w:rsidR="002B2AAA">
        <w:rPr>
          <w:rFonts w:ascii="Tahoma" w:hAnsi="Tahoma" w:cs="Tahoma"/>
          <w:sz w:val="20"/>
          <w:szCs w:val="20"/>
        </w:rPr>
        <w:t xml:space="preserve"> Za zgodą Inspektora nadzoru moż</w:t>
      </w:r>
      <w:r w:rsidRPr="00D4159B">
        <w:rPr>
          <w:rFonts w:ascii="Tahoma" w:hAnsi="Tahoma" w:cs="Tahoma"/>
          <w:sz w:val="20"/>
          <w:szCs w:val="20"/>
        </w:rPr>
        <w:t>na stosować cement z</w:t>
      </w:r>
      <w:r w:rsidR="002B2AAA">
        <w:rPr>
          <w:rFonts w:ascii="Tahoma" w:hAnsi="Tahoma" w:cs="Tahoma"/>
          <w:sz w:val="20"/>
          <w:szCs w:val="20"/>
        </w:rPr>
        <w:t xml:space="preserve"> dodatkiem żuż</w:t>
      </w:r>
      <w:r w:rsidRPr="00D4159B">
        <w:rPr>
          <w:rFonts w:ascii="Tahoma" w:hAnsi="Tahoma" w:cs="Tahoma"/>
          <w:sz w:val="20"/>
          <w:szCs w:val="20"/>
        </w:rPr>
        <w:t xml:space="preserve">la lub </w:t>
      </w:r>
      <w:r w:rsidR="002B2AAA" w:rsidRPr="00D4159B">
        <w:rPr>
          <w:rFonts w:ascii="Tahoma" w:hAnsi="Tahoma" w:cs="Tahoma"/>
          <w:sz w:val="20"/>
          <w:szCs w:val="20"/>
        </w:rPr>
        <w:t>popiołów</w:t>
      </w:r>
      <w:r w:rsidRPr="00D4159B">
        <w:rPr>
          <w:rFonts w:ascii="Tahoma" w:hAnsi="Tahoma" w:cs="Tahoma"/>
          <w:sz w:val="20"/>
          <w:szCs w:val="20"/>
        </w:rPr>
        <w:t xml:space="preserve"> lotnych 25 i 35 oraz cem</w:t>
      </w:r>
      <w:r w:rsidR="002B2AAA">
        <w:rPr>
          <w:rFonts w:ascii="Tahoma" w:hAnsi="Tahoma" w:cs="Tahoma"/>
          <w:sz w:val="20"/>
          <w:szCs w:val="20"/>
        </w:rPr>
        <w:t>ent hutniczy 25 pod warunkiem, ż</w:t>
      </w:r>
      <w:r w:rsidRPr="00D4159B">
        <w:rPr>
          <w:rFonts w:ascii="Tahoma" w:hAnsi="Tahoma" w:cs="Tahoma"/>
          <w:sz w:val="20"/>
          <w:szCs w:val="20"/>
        </w:rPr>
        <w:t>e temperatura</w:t>
      </w:r>
      <w:r w:rsidR="002B2AA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otoczenia w ciągu 7 dni od chwili w</w:t>
      </w:r>
      <w:r w:rsidR="002B2AAA">
        <w:rPr>
          <w:rFonts w:ascii="Tahoma" w:hAnsi="Tahoma" w:cs="Tahoma"/>
          <w:sz w:val="20"/>
          <w:szCs w:val="20"/>
        </w:rPr>
        <w:t>budowania zaprawy nie będzie niż</w:t>
      </w:r>
      <w:r w:rsidRPr="00D4159B">
        <w:rPr>
          <w:rFonts w:ascii="Tahoma" w:hAnsi="Tahoma" w:cs="Tahoma"/>
          <w:sz w:val="20"/>
          <w:szCs w:val="20"/>
        </w:rPr>
        <w:t>sza ni. +5°C.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Do zapraw cementowo-wapiennych </w:t>
      </w:r>
      <w:r w:rsidR="008F15C0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stosować wapno sucho-gaszone lub gaszone w postaci</w:t>
      </w:r>
      <w:r w:rsidR="002B2AA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ciasta wapiennego otrzy</w:t>
      </w:r>
      <w:r w:rsidR="008F15C0">
        <w:rPr>
          <w:rFonts w:ascii="Tahoma" w:hAnsi="Tahoma" w:cs="Tahoma"/>
          <w:sz w:val="20"/>
          <w:szCs w:val="20"/>
        </w:rPr>
        <w:t>manego z wapna niegaszonego, któ</w:t>
      </w:r>
      <w:r w:rsidRPr="00D4159B">
        <w:rPr>
          <w:rFonts w:ascii="Tahoma" w:hAnsi="Tahoma" w:cs="Tahoma"/>
          <w:sz w:val="20"/>
          <w:szCs w:val="20"/>
        </w:rPr>
        <w:t>re powinno tworzyć jednolitą i jednobarwną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masę, bez grudek niegaszonego wapna i zanieczyszczeń obcych. Skład objętościowych </w:t>
      </w:r>
      <w:r w:rsidR="008F15C0" w:rsidRPr="00D4159B">
        <w:rPr>
          <w:rFonts w:ascii="Tahoma" w:hAnsi="Tahoma" w:cs="Tahoma"/>
          <w:sz w:val="20"/>
          <w:szCs w:val="20"/>
        </w:rPr>
        <w:t>składników</w:t>
      </w:r>
      <w:r w:rsidR="008F15C0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zapraw </w:t>
      </w:r>
      <w:r w:rsidR="008F15C0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dobierać doświadczalnie, w </w:t>
      </w:r>
      <w:r w:rsidR="008F15C0" w:rsidRPr="00D4159B">
        <w:rPr>
          <w:rFonts w:ascii="Tahoma" w:hAnsi="Tahoma" w:cs="Tahoma"/>
          <w:sz w:val="20"/>
          <w:szCs w:val="20"/>
        </w:rPr>
        <w:t>zalewności</w:t>
      </w:r>
      <w:r w:rsidRPr="00D4159B">
        <w:rPr>
          <w:rFonts w:ascii="Tahoma" w:hAnsi="Tahoma" w:cs="Tahoma"/>
          <w:sz w:val="20"/>
          <w:szCs w:val="20"/>
        </w:rPr>
        <w:t xml:space="preserve"> od wymaganej marki zaprawy oraz rodzaju</w:t>
      </w:r>
      <w:r w:rsidR="008F15C0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cementu i wapna.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Piasek do zapraw (PN-EN 13139:2003)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Piasek powinien spełniać wymagania obowiązujących norm, a w </w:t>
      </w:r>
      <w:r w:rsidR="008F15C0" w:rsidRPr="00D4159B">
        <w:rPr>
          <w:rFonts w:ascii="Tahoma" w:hAnsi="Tahoma" w:cs="Tahoma"/>
          <w:sz w:val="20"/>
          <w:szCs w:val="20"/>
        </w:rPr>
        <w:t>szczególności</w:t>
      </w:r>
      <w:r w:rsidRPr="00D4159B">
        <w:rPr>
          <w:rFonts w:ascii="Tahoma" w:hAnsi="Tahoma" w:cs="Tahoma"/>
          <w:sz w:val="20"/>
          <w:szCs w:val="20"/>
        </w:rPr>
        <w:t>: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nie zawierać domieszek organicznych,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</w:t>
      </w:r>
      <w:r w:rsidR="008F15C0">
        <w:rPr>
          <w:rFonts w:ascii="Tahoma" w:hAnsi="Tahoma" w:cs="Tahoma"/>
          <w:sz w:val="20"/>
          <w:szCs w:val="20"/>
        </w:rPr>
        <w:t xml:space="preserve"> mieć frakcje roż</w:t>
      </w:r>
      <w:r w:rsidRPr="00D4159B">
        <w:rPr>
          <w:rFonts w:ascii="Tahoma" w:hAnsi="Tahoma" w:cs="Tahoma"/>
          <w:sz w:val="20"/>
          <w:szCs w:val="20"/>
        </w:rPr>
        <w:t xml:space="preserve">nych </w:t>
      </w:r>
      <w:r w:rsidR="008F15C0" w:rsidRPr="00D4159B">
        <w:rPr>
          <w:rFonts w:ascii="Tahoma" w:hAnsi="Tahoma" w:cs="Tahoma"/>
          <w:sz w:val="20"/>
          <w:szCs w:val="20"/>
        </w:rPr>
        <w:t>wymiarów</w:t>
      </w:r>
      <w:r w:rsidRPr="00D4159B">
        <w:rPr>
          <w:rFonts w:ascii="Tahoma" w:hAnsi="Tahoma" w:cs="Tahoma"/>
          <w:sz w:val="20"/>
          <w:szCs w:val="20"/>
        </w:rPr>
        <w:t>, a mianowicie: piasek drobnoziarnisty 0,25-0,5 mm, piasek</w:t>
      </w:r>
      <w:r w:rsidR="008F15C0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średnioziarnisty 0,5-1,0 mm, piasek gruboziarnisty 1,0-2,0 mm.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Do spodnich warstw tynku </w:t>
      </w:r>
      <w:r w:rsidR="008F15C0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stosować piasek gruboziarnisty odmiany 1, do warstw wierzchnich -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średnioziarnisty odmiany 2.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Do gładzi piasek powinien być drobnoziarnisty i przechodzić całkowicie przez sito o prześwicie 0,5 mm.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Woda do przygotowania zapraw (PN-EN 1008:2004)</w:t>
      </w:r>
    </w:p>
    <w:p w:rsidR="00D4159B" w:rsidRPr="00D4159B" w:rsidRDefault="008F15C0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Stosować moż</w:t>
      </w:r>
      <w:r w:rsidR="00D4159B" w:rsidRPr="00D4159B">
        <w:rPr>
          <w:rFonts w:ascii="Tahoma" w:hAnsi="Tahoma" w:cs="Tahoma"/>
          <w:sz w:val="20"/>
          <w:szCs w:val="20"/>
        </w:rPr>
        <w:t>na wodę odpowiadającą wymaganiom obowiązujących norm. Do przygotowania zapraw</w:t>
      </w:r>
    </w:p>
    <w:p w:rsidR="00D4159B" w:rsidRPr="00D4159B" w:rsidRDefault="008F15C0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moż</w:t>
      </w:r>
      <w:r w:rsidR="00D4159B" w:rsidRPr="00D4159B">
        <w:rPr>
          <w:rFonts w:ascii="Tahoma" w:hAnsi="Tahoma" w:cs="Tahoma"/>
          <w:sz w:val="20"/>
          <w:szCs w:val="20"/>
        </w:rPr>
        <w:t xml:space="preserve">na stosować wodociągową </w:t>
      </w:r>
      <w:r>
        <w:rPr>
          <w:rFonts w:ascii="Tahoma" w:hAnsi="Tahoma" w:cs="Tahoma"/>
          <w:sz w:val="20"/>
          <w:szCs w:val="20"/>
        </w:rPr>
        <w:t>wodę pitną. Niedozwolone jest uż</w:t>
      </w:r>
      <w:r w:rsidR="00D4159B" w:rsidRPr="00D4159B">
        <w:rPr>
          <w:rFonts w:ascii="Tahoma" w:hAnsi="Tahoma" w:cs="Tahoma"/>
          <w:sz w:val="20"/>
          <w:szCs w:val="20"/>
        </w:rPr>
        <w:t xml:space="preserve">ycie </w:t>
      </w:r>
      <w:r w:rsidRPr="00D4159B">
        <w:rPr>
          <w:rFonts w:ascii="Tahoma" w:hAnsi="Tahoma" w:cs="Tahoma"/>
          <w:sz w:val="20"/>
          <w:szCs w:val="20"/>
        </w:rPr>
        <w:t>wód</w:t>
      </w:r>
      <w:r w:rsidR="00D4159B" w:rsidRPr="00D4159B">
        <w:rPr>
          <w:rFonts w:ascii="Tahoma" w:hAnsi="Tahoma" w:cs="Tahoma"/>
          <w:sz w:val="20"/>
          <w:szCs w:val="20"/>
        </w:rPr>
        <w:t xml:space="preserve"> ściekowych, kanalizacyjnych,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bagiennych oraz </w:t>
      </w:r>
      <w:r w:rsidRPr="00D4159B">
        <w:rPr>
          <w:rFonts w:ascii="Tahoma" w:hAnsi="Tahoma" w:cs="Tahoma"/>
          <w:sz w:val="20"/>
          <w:szCs w:val="20"/>
        </w:rPr>
        <w:t>wód</w:t>
      </w:r>
      <w:r w:rsidR="00D4159B" w:rsidRPr="00D4159B">
        <w:rPr>
          <w:rFonts w:ascii="Tahoma" w:hAnsi="Tahoma" w:cs="Tahoma"/>
          <w:sz w:val="20"/>
          <w:szCs w:val="20"/>
        </w:rPr>
        <w:t xml:space="preserve"> zawierających tłuszcze organiczne, oleje i muł.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2.2. Materiały do wykonania gładzi gipsowych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Masa szpachlowa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Produkt powinien być białą masą szpachlową, przeznaczoną do wykonywania gładzi gipsowych oraz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do wypełniania </w:t>
      </w:r>
      <w:r w:rsidR="000535CD" w:rsidRPr="00D4159B">
        <w:rPr>
          <w:rFonts w:ascii="Tahoma" w:hAnsi="Tahoma" w:cs="Tahoma"/>
          <w:sz w:val="20"/>
          <w:szCs w:val="20"/>
        </w:rPr>
        <w:t>ubytków</w:t>
      </w:r>
      <w:r w:rsidRPr="00D4159B">
        <w:rPr>
          <w:rFonts w:ascii="Tahoma" w:hAnsi="Tahoma" w:cs="Tahoma"/>
          <w:sz w:val="20"/>
          <w:szCs w:val="20"/>
        </w:rPr>
        <w:t xml:space="preserve"> na powierzchniach ścian i </w:t>
      </w:r>
      <w:r w:rsidR="000535CD" w:rsidRPr="00D4159B">
        <w:rPr>
          <w:rFonts w:ascii="Tahoma" w:hAnsi="Tahoma" w:cs="Tahoma"/>
          <w:sz w:val="20"/>
          <w:szCs w:val="20"/>
        </w:rPr>
        <w:t>sufitów</w:t>
      </w:r>
      <w:r w:rsidRPr="00D4159B">
        <w:rPr>
          <w:rFonts w:ascii="Tahoma" w:hAnsi="Tahoma" w:cs="Tahoma"/>
          <w:sz w:val="20"/>
          <w:szCs w:val="20"/>
        </w:rPr>
        <w:t>. Masa szpachlowa powinna mieć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="000535CD" w:rsidRPr="00D4159B">
        <w:rPr>
          <w:rFonts w:ascii="Tahoma" w:hAnsi="Tahoma" w:cs="Tahoma"/>
          <w:sz w:val="20"/>
          <w:szCs w:val="20"/>
        </w:rPr>
        <w:t>możliwość</w:t>
      </w:r>
      <w:r w:rsidRPr="00D4159B">
        <w:rPr>
          <w:rFonts w:ascii="Tahoma" w:hAnsi="Tahoma" w:cs="Tahoma"/>
          <w:sz w:val="20"/>
          <w:szCs w:val="20"/>
        </w:rPr>
        <w:t xml:space="preserve"> zastosowania na typowych </w:t>
      </w:r>
      <w:r w:rsidR="000535CD" w:rsidRPr="00D4159B">
        <w:rPr>
          <w:rFonts w:ascii="Tahoma" w:hAnsi="Tahoma" w:cs="Tahoma"/>
          <w:sz w:val="20"/>
          <w:szCs w:val="20"/>
        </w:rPr>
        <w:t>podłożach</w:t>
      </w:r>
      <w:r w:rsidRPr="00D4159B">
        <w:rPr>
          <w:rFonts w:ascii="Tahoma" w:hAnsi="Tahoma" w:cs="Tahoma"/>
          <w:sz w:val="20"/>
          <w:szCs w:val="20"/>
        </w:rPr>
        <w:t xml:space="preserve"> mineralnych, takich jak beton, gazobeton, gips, tynki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cementowe, cementowo-wapienne i gipsowe oraz nadawać się do stosowania wewnątrz pomieszczeń,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przy czym gru</w:t>
      </w:r>
      <w:r w:rsidR="000535CD">
        <w:rPr>
          <w:rFonts w:ascii="Tahoma" w:hAnsi="Tahoma" w:cs="Tahoma"/>
          <w:sz w:val="20"/>
          <w:szCs w:val="20"/>
        </w:rPr>
        <w:t>bość pojedynczej warstwy nie moż</w:t>
      </w:r>
      <w:r w:rsidRPr="00D4159B">
        <w:rPr>
          <w:rFonts w:ascii="Tahoma" w:hAnsi="Tahoma" w:cs="Tahoma"/>
          <w:sz w:val="20"/>
          <w:szCs w:val="20"/>
        </w:rPr>
        <w:t>e przekroczyć 2 mm. Produkt ma być gotową, suchą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mieszanką, produkowaną na bazie mączki anhydrytowej, wypełniaczy wapiennych oraz </w:t>
      </w:r>
      <w:r w:rsidR="000535CD" w:rsidRPr="00D4159B">
        <w:rPr>
          <w:rFonts w:ascii="Tahoma" w:hAnsi="Tahoma" w:cs="Tahoma"/>
          <w:sz w:val="20"/>
          <w:szCs w:val="20"/>
        </w:rPr>
        <w:t>dodatków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modyfikujących nowej generacji. Parametry techniczne powinny pozwolić na uzyskanie powierzchni</w:t>
      </w:r>
      <w:r w:rsidR="000535CD">
        <w:rPr>
          <w:rFonts w:ascii="Tahoma" w:hAnsi="Tahoma" w:cs="Tahoma"/>
          <w:sz w:val="20"/>
          <w:szCs w:val="20"/>
        </w:rPr>
        <w:t xml:space="preserve"> o duż</w:t>
      </w:r>
      <w:r w:rsidRPr="00D4159B">
        <w:rPr>
          <w:rFonts w:ascii="Tahoma" w:hAnsi="Tahoma" w:cs="Tahoma"/>
          <w:sz w:val="20"/>
          <w:szCs w:val="20"/>
        </w:rPr>
        <w:t xml:space="preserve">ej gładkości, stanowiącej doskonałe </w:t>
      </w:r>
      <w:r w:rsidR="000535CD" w:rsidRPr="00D4159B">
        <w:rPr>
          <w:rFonts w:ascii="Tahoma" w:hAnsi="Tahoma" w:cs="Tahoma"/>
          <w:sz w:val="20"/>
          <w:szCs w:val="20"/>
        </w:rPr>
        <w:t>podłoże</w:t>
      </w:r>
      <w:r w:rsidRPr="00D4159B">
        <w:rPr>
          <w:rFonts w:ascii="Tahoma" w:hAnsi="Tahoma" w:cs="Tahoma"/>
          <w:sz w:val="20"/>
          <w:szCs w:val="20"/>
        </w:rPr>
        <w:t xml:space="preserve"> pod malowanie.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Parametry techniczne masy szpachlowej: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Przyczepność: min. 0,50 MPa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Gęstość w stanie suchym: ok. 1,1 g/cm3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Max. grubość jednej warstwy: 2 mm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Emulsja do gruntowania i wzmacniania </w:t>
      </w:r>
      <w:r w:rsidR="000535CD" w:rsidRPr="00D4159B">
        <w:rPr>
          <w:rFonts w:ascii="Tahoma" w:hAnsi="Tahoma" w:cs="Tahoma"/>
          <w:sz w:val="20"/>
          <w:szCs w:val="20"/>
        </w:rPr>
        <w:t>podłoży</w:t>
      </w:r>
      <w:r w:rsidRPr="00D4159B">
        <w:rPr>
          <w:rFonts w:ascii="Tahoma" w:hAnsi="Tahoma" w:cs="Tahoma"/>
          <w:sz w:val="20"/>
          <w:szCs w:val="20"/>
        </w:rPr>
        <w:t xml:space="preserve"> budowlanych pod gładzie</w:t>
      </w:r>
      <w:r w:rsidR="000535CD">
        <w:rPr>
          <w:rFonts w:ascii="Tahoma" w:hAnsi="Tahoma" w:cs="Tahoma"/>
          <w:sz w:val="20"/>
          <w:szCs w:val="20"/>
        </w:rPr>
        <w:t xml:space="preserve">. </w:t>
      </w:r>
      <w:r w:rsidRPr="00D4159B">
        <w:rPr>
          <w:rFonts w:ascii="Tahoma" w:hAnsi="Tahoma" w:cs="Tahoma"/>
          <w:sz w:val="20"/>
          <w:szCs w:val="20"/>
        </w:rPr>
        <w:t>Emulsja powinna być impregnatem przeznaczonym do gruntowania i wzmacniania wszystkich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nasiąkliwych, nadmiernie chłonnych i osłabionych </w:t>
      </w:r>
      <w:r w:rsidR="000535CD" w:rsidRPr="00D4159B">
        <w:rPr>
          <w:rFonts w:ascii="Tahoma" w:hAnsi="Tahoma" w:cs="Tahoma"/>
          <w:sz w:val="20"/>
          <w:szCs w:val="20"/>
        </w:rPr>
        <w:t>podłoży</w:t>
      </w:r>
      <w:r w:rsidRPr="00D4159B">
        <w:rPr>
          <w:rFonts w:ascii="Tahoma" w:hAnsi="Tahoma" w:cs="Tahoma"/>
          <w:sz w:val="20"/>
          <w:szCs w:val="20"/>
        </w:rPr>
        <w:t>, w tym wykonanych z betonu,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gazobetonu, płyt cementowych, gipsowych i gipsowo-kartonowych, </w:t>
      </w:r>
      <w:r w:rsidR="000535CD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gipsowych,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cementowych i cementowo-wapiennych. Emulsja powinna być doskonałym środkiem do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przygotowania </w:t>
      </w:r>
      <w:r w:rsidR="000535CD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 xml:space="preserve"> przed wykonaniem tynku, posadzki, podkładu podłogowego, gładzi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szpachlowej, itp. Emulsja powinna być impregnatem do gruntowania produkowanym jako gotowa do</w:t>
      </w:r>
      <w:r w:rsidR="00503873">
        <w:rPr>
          <w:rFonts w:ascii="Tahoma" w:hAnsi="Tahoma" w:cs="Tahoma"/>
          <w:sz w:val="20"/>
          <w:szCs w:val="20"/>
        </w:rPr>
        <w:t xml:space="preserve"> u</w:t>
      </w:r>
      <w:r w:rsidR="00503873" w:rsidRPr="00D4159B">
        <w:rPr>
          <w:rFonts w:ascii="Tahoma" w:hAnsi="Tahoma" w:cs="Tahoma"/>
          <w:sz w:val="20"/>
          <w:szCs w:val="20"/>
        </w:rPr>
        <w:t>życia</w:t>
      </w:r>
      <w:r w:rsidRPr="00D4159B">
        <w:rPr>
          <w:rFonts w:ascii="Tahoma" w:hAnsi="Tahoma" w:cs="Tahoma"/>
          <w:sz w:val="20"/>
          <w:szCs w:val="20"/>
        </w:rPr>
        <w:t xml:space="preserve"> wodna dyspersja </w:t>
      </w:r>
      <w:r w:rsidR="00503873" w:rsidRPr="00D4159B">
        <w:rPr>
          <w:rFonts w:ascii="Tahoma" w:hAnsi="Tahoma" w:cs="Tahoma"/>
          <w:sz w:val="20"/>
          <w:szCs w:val="20"/>
        </w:rPr>
        <w:t>najwyższej</w:t>
      </w:r>
      <w:r w:rsidRPr="00D4159B">
        <w:rPr>
          <w:rFonts w:ascii="Tahoma" w:hAnsi="Tahoma" w:cs="Tahoma"/>
          <w:sz w:val="20"/>
          <w:szCs w:val="20"/>
        </w:rPr>
        <w:t xml:space="preserve"> jakości </w:t>
      </w:r>
      <w:r w:rsidR="00503873">
        <w:rPr>
          <w:rFonts w:ascii="Tahoma" w:hAnsi="Tahoma" w:cs="Tahoma"/>
          <w:sz w:val="20"/>
          <w:szCs w:val="20"/>
        </w:rPr>
        <w:t>ż</w:t>
      </w:r>
      <w:r w:rsidR="00503873" w:rsidRPr="00D4159B">
        <w:rPr>
          <w:rFonts w:ascii="Tahoma" w:hAnsi="Tahoma" w:cs="Tahoma"/>
          <w:sz w:val="20"/>
          <w:szCs w:val="20"/>
        </w:rPr>
        <w:t>ywicy</w:t>
      </w:r>
      <w:r w:rsidRPr="00D4159B">
        <w:rPr>
          <w:rFonts w:ascii="Tahoma" w:hAnsi="Tahoma" w:cs="Tahoma"/>
          <w:sz w:val="20"/>
          <w:szCs w:val="20"/>
        </w:rPr>
        <w:t xml:space="preserve"> akrylowej. Emulsja powinna wnikać silnie w głąb</w:t>
      </w:r>
      <w:r w:rsidR="00503873">
        <w:rPr>
          <w:rFonts w:ascii="Tahoma" w:hAnsi="Tahoma" w:cs="Tahoma"/>
          <w:sz w:val="20"/>
          <w:szCs w:val="20"/>
        </w:rPr>
        <w:t xml:space="preserve"> </w:t>
      </w:r>
      <w:r w:rsidR="00503873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 xml:space="preserve">, powodując jego wzmocnienie i ujednorodnienie </w:t>
      </w:r>
      <w:r w:rsidR="00503873" w:rsidRPr="00D4159B">
        <w:rPr>
          <w:rFonts w:ascii="Tahoma" w:hAnsi="Tahoma" w:cs="Tahoma"/>
          <w:sz w:val="20"/>
          <w:szCs w:val="20"/>
        </w:rPr>
        <w:t>parametrów</w:t>
      </w:r>
      <w:r w:rsidRPr="00D4159B">
        <w:rPr>
          <w:rFonts w:ascii="Tahoma" w:hAnsi="Tahoma" w:cs="Tahoma"/>
          <w:sz w:val="20"/>
          <w:szCs w:val="20"/>
        </w:rPr>
        <w:t xml:space="preserve"> całej gruntowanej powierzchni.</w:t>
      </w:r>
      <w:r w:rsidR="00503873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Emulsja winna regulować proces chłonności </w:t>
      </w:r>
      <w:r w:rsidR="00503873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 xml:space="preserve"> i zapobiegać odciąganiu nadmiernej ilości wody</w:t>
      </w:r>
      <w:r w:rsidR="00503873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z wykonywanych na nim warstw, np. gładzi szpachlowych. Emulsja powinna poprawiać warunki</w:t>
      </w:r>
      <w:r w:rsidR="00503873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wiązania zapraw i przyczyniać się do osiągnięcia przez nie zakładanych </w:t>
      </w:r>
      <w:r w:rsidR="00503873" w:rsidRPr="00D4159B">
        <w:rPr>
          <w:rFonts w:ascii="Tahoma" w:hAnsi="Tahoma" w:cs="Tahoma"/>
          <w:sz w:val="20"/>
          <w:szCs w:val="20"/>
        </w:rPr>
        <w:t>parametrów</w:t>
      </w:r>
      <w:r w:rsidRPr="00D4159B">
        <w:rPr>
          <w:rFonts w:ascii="Tahoma" w:hAnsi="Tahoma" w:cs="Tahoma"/>
          <w:sz w:val="20"/>
          <w:szCs w:val="20"/>
        </w:rPr>
        <w:t xml:space="preserve"> technicznych, w</w:t>
      </w:r>
      <w:r w:rsidR="00503873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tym przyczepności.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Parametry techniczne emulsji: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</w:t>
      </w:r>
      <w:r w:rsidR="00503873" w:rsidRPr="00D4159B">
        <w:rPr>
          <w:rFonts w:ascii="Tahoma" w:hAnsi="Tahoma" w:cs="Tahoma"/>
          <w:sz w:val="20"/>
          <w:szCs w:val="20"/>
        </w:rPr>
        <w:t>Użytkowanie</w:t>
      </w:r>
      <w:r w:rsidRPr="00D4159B">
        <w:rPr>
          <w:rFonts w:ascii="Tahoma" w:hAnsi="Tahoma" w:cs="Tahoma"/>
          <w:sz w:val="20"/>
          <w:szCs w:val="20"/>
        </w:rPr>
        <w:t xml:space="preserve"> powierzchni: po 24 godzinach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Gęstość emulsji: 1,0 g/cm3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lastRenderedPageBreak/>
        <w:t>3. SPRZĘT</w:t>
      </w:r>
    </w:p>
    <w:p w:rsidR="00D4159B" w:rsidRPr="00D4159B" w:rsidRDefault="00B377D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Ogólne</w:t>
      </w:r>
      <w:r w:rsidR="00D4159B" w:rsidRPr="00D4159B">
        <w:rPr>
          <w:rFonts w:ascii="Tahoma" w:hAnsi="Tahoma" w:cs="Tahoma"/>
          <w:sz w:val="20"/>
          <w:szCs w:val="20"/>
        </w:rPr>
        <w:t xml:space="preserve"> wymagania dotyczące sprzętu i maszyn podano w STO.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Do wykonania robot </w:t>
      </w:r>
      <w:r w:rsidR="00B377DB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stosować sprzęt, </w:t>
      </w:r>
      <w:r w:rsidR="00B377DB" w:rsidRPr="00D4159B">
        <w:rPr>
          <w:rFonts w:ascii="Tahoma" w:hAnsi="Tahoma" w:cs="Tahoma"/>
          <w:sz w:val="20"/>
          <w:szCs w:val="20"/>
        </w:rPr>
        <w:t>który</w:t>
      </w:r>
      <w:r w:rsidRPr="00D4159B">
        <w:rPr>
          <w:rFonts w:ascii="Tahoma" w:hAnsi="Tahoma" w:cs="Tahoma"/>
          <w:sz w:val="20"/>
          <w:szCs w:val="20"/>
        </w:rPr>
        <w:t xml:space="preserve"> nie spowoduje niekorzystnego wpływu na jakość</w:t>
      </w:r>
      <w:r w:rsidR="00B377DB">
        <w:rPr>
          <w:rFonts w:ascii="Tahoma" w:hAnsi="Tahoma" w:cs="Tahoma"/>
          <w:sz w:val="20"/>
          <w:szCs w:val="20"/>
        </w:rPr>
        <w:t xml:space="preserve"> robó</w:t>
      </w:r>
      <w:r w:rsidRPr="00D4159B">
        <w:rPr>
          <w:rFonts w:ascii="Tahoma" w:hAnsi="Tahoma" w:cs="Tahoma"/>
          <w:sz w:val="20"/>
          <w:szCs w:val="20"/>
        </w:rPr>
        <w:t>t. Musi być utrzymywany w dobrym stanie i gotowości do pracy, spełniać normy ochrony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środowiska i przepisy jego </w:t>
      </w:r>
      <w:r w:rsidR="00B377DB">
        <w:rPr>
          <w:rFonts w:ascii="Tahoma" w:hAnsi="Tahoma" w:cs="Tahoma"/>
          <w:sz w:val="20"/>
          <w:szCs w:val="20"/>
        </w:rPr>
        <w:t>u</w:t>
      </w:r>
      <w:r w:rsidR="00B377DB" w:rsidRPr="00D4159B">
        <w:rPr>
          <w:rFonts w:ascii="Tahoma" w:hAnsi="Tahoma" w:cs="Tahoma"/>
          <w:sz w:val="20"/>
          <w:szCs w:val="20"/>
        </w:rPr>
        <w:t>żytkowania</w:t>
      </w:r>
      <w:r w:rsidRPr="00D4159B">
        <w:rPr>
          <w:rFonts w:ascii="Tahoma" w:hAnsi="Tahoma" w:cs="Tahoma"/>
          <w:sz w:val="20"/>
          <w:szCs w:val="20"/>
        </w:rPr>
        <w:t>.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Roboty związane z przygotowaniem </w:t>
      </w:r>
      <w:r w:rsidR="00B377DB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cementowo-wapiennych wykonać mechanicznie przy</w:t>
      </w:r>
      <w:r w:rsidR="00B377DB">
        <w:rPr>
          <w:rFonts w:ascii="Tahoma" w:hAnsi="Tahoma" w:cs="Tahoma"/>
          <w:sz w:val="20"/>
          <w:szCs w:val="20"/>
        </w:rPr>
        <w:t xml:space="preserve"> u</w:t>
      </w:r>
      <w:r w:rsidR="00B377DB" w:rsidRPr="00D4159B">
        <w:rPr>
          <w:rFonts w:ascii="Tahoma" w:hAnsi="Tahoma" w:cs="Tahoma"/>
          <w:sz w:val="20"/>
          <w:szCs w:val="20"/>
        </w:rPr>
        <w:t>życiu</w:t>
      </w:r>
      <w:r w:rsidRPr="00D4159B">
        <w:rPr>
          <w:rFonts w:ascii="Tahoma" w:hAnsi="Tahoma" w:cs="Tahoma"/>
          <w:sz w:val="20"/>
          <w:szCs w:val="20"/>
        </w:rPr>
        <w:t xml:space="preserve"> dowolnego typu sprzętu zaakceptowanego przez Inspektora nadzoru. Zalecane są pomosty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robocze, rusztowania, stoliki tynkarskie, łaty, taczki, mieszadła do </w:t>
      </w:r>
      <w:r w:rsidR="00B377DB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>, pojemniki i wiadra,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betoniarka elektryczna, kielnie.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4. TRANSPORT</w:t>
      </w:r>
    </w:p>
    <w:p w:rsidR="00D4159B" w:rsidRPr="00D4159B" w:rsidRDefault="00B377D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Ogólne</w:t>
      </w:r>
      <w:r w:rsidR="00D4159B" w:rsidRPr="00D4159B">
        <w:rPr>
          <w:rFonts w:ascii="Tahoma" w:hAnsi="Tahoma" w:cs="Tahoma"/>
          <w:sz w:val="20"/>
          <w:szCs w:val="20"/>
        </w:rPr>
        <w:t xml:space="preserve"> wymagania dotyczące transportu podano w STO.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Wykonawca jest zobowiązany do stosowania jedynie takich </w:t>
      </w:r>
      <w:r w:rsidR="00B377DB">
        <w:rPr>
          <w:rFonts w:ascii="Tahoma" w:hAnsi="Tahoma" w:cs="Tahoma"/>
          <w:sz w:val="20"/>
          <w:szCs w:val="20"/>
        </w:rPr>
        <w:t>śro</w:t>
      </w:r>
      <w:r w:rsidR="00B377DB" w:rsidRPr="00D4159B">
        <w:rPr>
          <w:rFonts w:ascii="Tahoma" w:hAnsi="Tahoma" w:cs="Tahoma"/>
          <w:sz w:val="20"/>
          <w:szCs w:val="20"/>
        </w:rPr>
        <w:t>dków</w:t>
      </w:r>
      <w:r w:rsidRPr="00D4159B">
        <w:rPr>
          <w:rFonts w:ascii="Tahoma" w:hAnsi="Tahoma" w:cs="Tahoma"/>
          <w:sz w:val="20"/>
          <w:szCs w:val="20"/>
        </w:rPr>
        <w:t xml:space="preserve"> transportu, </w:t>
      </w:r>
      <w:r w:rsidR="00B377DB" w:rsidRPr="00D4159B">
        <w:rPr>
          <w:rFonts w:ascii="Tahoma" w:hAnsi="Tahoma" w:cs="Tahoma"/>
          <w:sz w:val="20"/>
          <w:szCs w:val="20"/>
        </w:rPr>
        <w:t>które</w:t>
      </w:r>
      <w:r w:rsidRPr="00D4159B">
        <w:rPr>
          <w:rFonts w:ascii="Tahoma" w:hAnsi="Tahoma" w:cs="Tahoma"/>
          <w:sz w:val="20"/>
          <w:szCs w:val="20"/>
        </w:rPr>
        <w:t xml:space="preserve"> nie wpłyną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niekorzystnie na jakość wykonywanych robot i właściwości </w:t>
      </w:r>
      <w:r w:rsidR="00B377DB" w:rsidRPr="00D4159B">
        <w:rPr>
          <w:rFonts w:ascii="Tahoma" w:hAnsi="Tahoma" w:cs="Tahoma"/>
          <w:sz w:val="20"/>
          <w:szCs w:val="20"/>
        </w:rPr>
        <w:t>przewożonych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B377DB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>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Dostawa- samochodem </w:t>
      </w:r>
      <w:r w:rsidR="00B377DB" w:rsidRPr="00D4159B">
        <w:rPr>
          <w:rFonts w:ascii="Tahoma" w:hAnsi="Tahoma" w:cs="Tahoma"/>
          <w:sz w:val="20"/>
          <w:szCs w:val="20"/>
        </w:rPr>
        <w:t>ciężarowym</w:t>
      </w:r>
      <w:r w:rsidRPr="00D4159B">
        <w:rPr>
          <w:rFonts w:ascii="Tahoma" w:hAnsi="Tahoma" w:cs="Tahoma"/>
          <w:sz w:val="20"/>
          <w:szCs w:val="20"/>
        </w:rPr>
        <w:t>, na placu budowy wciągarka ręczna, wewnątrz budynku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transport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ręczny.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Transport </w:t>
      </w:r>
      <w:r w:rsidR="00B377DB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– zalecany </w:t>
      </w:r>
      <w:r w:rsidR="00B377DB" w:rsidRPr="00D4159B">
        <w:rPr>
          <w:rFonts w:ascii="Tahoma" w:hAnsi="Tahoma" w:cs="Tahoma"/>
          <w:sz w:val="20"/>
          <w:szCs w:val="20"/>
        </w:rPr>
        <w:t>przywóz</w:t>
      </w:r>
      <w:r w:rsidRPr="00D4159B">
        <w:rPr>
          <w:rFonts w:ascii="Tahoma" w:hAnsi="Tahoma" w:cs="Tahoma"/>
          <w:sz w:val="20"/>
          <w:szCs w:val="20"/>
        </w:rPr>
        <w:t xml:space="preserve"> w zestawach – paletach fabrycznych, w oryginalnych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opakowaniach, środkami gwarantującymi nieuszkodzenie w trakcie transportu.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Transport cementu i wapna </w:t>
      </w:r>
      <w:r w:rsidR="00B377DB" w:rsidRPr="00D4159B">
        <w:rPr>
          <w:rFonts w:ascii="Tahoma" w:hAnsi="Tahoma" w:cs="Tahoma"/>
          <w:sz w:val="20"/>
          <w:szCs w:val="20"/>
        </w:rPr>
        <w:t>sucho gaszonego</w:t>
      </w:r>
      <w:r w:rsidRPr="00D4159B">
        <w:rPr>
          <w:rFonts w:ascii="Tahoma" w:hAnsi="Tahoma" w:cs="Tahoma"/>
          <w:sz w:val="20"/>
          <w:szCs w:val="20"/>
        </w:rPr>
        <w:t xml:space="preserve"> powinien odbywać się zgodnie z obowiązującymi normami.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Cement i wapno </w:t>
      </w:r>
      <w:r w:rsidR="00B377DB" w:rsidRPr="00D4159B">
        <w:rPr>
          <w:rFonts w:ascii="Tahoma" w:hAnsi="Tahoma" w:cs="Tahoma"/>
          <w:sz w:val="20"/>
          <w:szCs w:val="20"/>
        </w:rPr>
        <w:t>sucho gaszone</w:t>
      </w:r>
      <w:r w:rsidRPr="00D4159B">
        <w:rPr>
          <w:rFonts w:ascii="Tahoma" w:hAnsi="Tahoma" w:cs="Tahoma"/>
          <w:sz w:val="20"/>
          <w:szCs w:val="20"/>
        </w:rPr>
        <w:t xml:space="preserve"> luzem </w:t>
      </w:r>
      <w:r w:rsidR="00B377DB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przewozić cementowozem, natomiast cement i wapno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sucho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gaszone workowane </w:t>
      </w:r>
      <w:r w:rsidR="00B377DB" w:rsidRPr="00D4159B">
        <w:rPr>
          <w:rFonts w:ascii="Tahoma" w:hAnsi="Tahoma" w:cs="Tahoma"/>
          <w:sz w:val="20"/>
          <w:szCs w:val="20"/>
        </w:rPr>
        <w:t>mo</w:t>
      </w:r>
      <w:r w:rsidR="00B377DB">
        <w:rPr>
          <w:rFonts w:ascii="Tahoma" w:hAnsi="Tahoma" w:cs="Tahoma"/>
          <w:sz w:val="20"/>
          <w:szCs w:val="20"/>
        </w:rPr>
        <w:t>ż</w:t>
      </w:r>
      <w:r w:rsidR="00B377DB" w:rsidRPr="00D4159B">
        <w:rPr>
          <w:rFonts w:ascii="Tahoma" w:hAnsi="Tahoma" w:cs="Tahoma"/>
          <w:sz w:val="20"/>
          <w:szCs w:val="20"/>
        </w:rPr>
        <w:t>na</w:t>
      </w:r>
      <w:r w:rsidRPr="00D4159B">
        <w:rPr>
          <w:rFonts w:ascii="Tahoma" w:hAnsi="Tahoma" w:cs="Tahoma"/>
          <w:sz w:val="20"/>
          <w:szCs w:val="20"/>
        </w:rPr>
        <w:t xml:space="preserve"> przewozić dowolnymi środkami transportu i w odpowiedni </w:t>
      </w:r>
      <w:r w:rsidR="00B377DB" w:rsidRPr="00D4159B">
        <w:rPr>
          <w:rFonts w:ascii="Tahoma" w:hAnsi="Tahoma" w:cs="Tahoma"/>
          <w:sz w:val="20"/>
          <w:szCs w:val="20"/>
        </w:rPr>
        <w:t>sposób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zabezpieczone przed zawilgoceniem. Wapno gaszone w postaci ciasta wapiennego moŜna przewozić w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skrzyniach lub pojemnikach stalowych.</w:t>
      </w:r>
      <w:r w:rsidR="00B377DB">
        <w:rPr>
          <w:rFonts w:ascii="Tahoma" w:hAnsi="Tahoma" w:cs="Tahoma"/>
          <w:sz w:val="20"/>
          <w:szCs w:val="20"/>
        </w:rPr>
        <w:t xml:space="preserve"> Kruszywa moż</w:t>
      </w:r>
      <w:r w:rsidRPr="00D4159B">
        <w:rPr>
          <w:rFonts w:ascii="Tahoma" w:hAnsi="Tahoma" w:cs="Tahoma"/>
          <w:sz w:val="20"/>
          <w:szCs w:val="20"/>
        </w:rPr>
        <w:t>na przewozić dowolnymi środkami transportu w warunkach zabezpieczających je przed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zanieczyszczeniem, zmieszaniem z innymi asortymentami kruszywa lub jego frakcjami i nadmiernym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zawilgoceniem.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5. WYMAGANIA DOTYCZĄCE WYKONANIA ROBÓT BUDOWLANYCH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5.1 Warunki przystąpienia do robót tynkarskich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Do wykonania </w:t>
      </w:r>
      <w:r w:rsidR="00EC1F67" w:rsidRPr="00D4159B">
        <w:rPr>
          <w:rFonts w:ascii="Tahoma" w:hAnsi="Tahoma" w:cs="Tahoma"/>
          <w:sz w:val="20"/>
          <w:szCs w:val="20"/>
        </w:rPr>
        <w:t>tynków</w:t>
      </w:r>
      <w:r w:rsidR="00A03635">
        <w:rPr>
          <w:rFonts w:ascii="Tahoma" w:hAnsi="Tahoma" w:cs="Tahoma"/>
          <w:sz w:val="20"/>
          <w:szCs w:val="20"/>
        </w:rPr>
        <w:t xml:space="preserve"> cementowo-wapiennych moż</w:t>
      </w:r>
      <w:r w:rsidRPr="00D4159B">
        <w:rPr>
          <w:rFonts w:ascii="Tahoma" w:hAnsi="Tahoma" w:cs="Tahoma"/>
          <w:sz w:val="20"/>
          <w:szCs w:val="20"/>
        </w:rPr>
        <w:t>na przystąpić: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po zakończeniu robot murarskich,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po wykonaniu podtynkowych robot instalacyjnych,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po zamurowaniu bruzd i przebić,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po obsadzeniu </w:t>
      </w:r>
      <w:r w:rsidR="00EC1F67" w:rsidRPr="00D4159B">
        <w:rPr>
          <w:rFonts w:ascii="Tahoma" w:hAnsi="Tahoma" w:cs="Tahoma"/>
          <w:sz w:val="20"/>
          <w:szCs w:val="20"/>
        </w:rPr>
        <w:t>ościeżnic</w:t>
      </w:r>
      <w:r w:rsidRPr="00D4159B">
        <w:rPr>
          <w:rFonts w:ascii="Tahoma" w:hAnsi="Tahoma" w:cs="Tahoma"/>
          <w:sz w:val="20"/>
          <w:szCs w:val="20"/>
        </w:rPr>
        <w:t xml:space="preserve"> drzwiowych,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po dopuszczeniu przez Inspektora nadzoru (potwierdzonym wpisem do dziennika budowy).</w:t>
      </w:r>
    </w:p>
    <w:p w:rsidR="00D4159B" w:rsidRPr="00D4159B" w:rsidRDefault="00EC1F67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Podłoże</w:t>
      </w:r>
      <w:r w:rsidR="00D4159B" w:rsidRPr="00D4159B">
        <w:rPr>
          <w:rFonts w:ascii="Tahoma" w:hAnsi="Tahoma" w:cs="Tahoma"/>
          <w:sz w:val="20"/>
          <w:szCs w:val="20"/>
        </w:rPr>
        <w:t xml:space="preserve"> powinno być suche, stabilne i wolne od kurzu i zabrudzeń.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5.2. Wykonanie tynków cementowo-wapiennych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Wykonać tynki trój</w:t>
      </w:r>
      <w:r w:rsidR="00D4159B" w:rsidRPr="00D4159B">
        <w:rPr>
          <w:rFonts w:ascii="Tahoma" w:hAnsi="Tahoma" w:cs="Tahoma"/>
          <w:sz w:val="20"/>
          <w:szCs w:val="20"/>
        </w:rPr>
        <w:t xml:space="preserve">warstwowe składające się z obrzutki i narzutu </w:t>
      </w:r>
      <w:r w:rsidRPr="00D4159B">
        <w:rPr>
          <w:rFonts w:ascii="Tahoma" w:hAnsi="Tahoma" w:cs="Tahoma"/>
          <w:sz w:val="20"/>
          <w:szCs w:val="20"/>
        </w:rPr>
        <w:t>wyrównanego</w:t>
      </w:r>
      <w:r w:rsidR="00D4159B" w:rsidRPr="00D4159B">
        <w:rPr>
          <w:rFonts w:ascii="Tahoma" w:hAnsi="Tahoma" w:cs="Tahoma"/>
          <w:sz w:val="20"/>
          <w:szCs w:val="20"/>
        </w:rPr>
        <w:t xml:space="preserve"> według </w:t>
      </w:r>
      <w:r w:rsidRPr="00D4159B">
        <w:rPr>
          <w:rFonts w:ascii="Tahoma" w:hAnsi="Tahoma" w:cs="Tahoma"/>
          <w:sz w:val="20"/>
          <w:szCs w:val="20"/>
        </w:rPr>
        <w:t>pąsów</w:t>
      </w:r>
      <w:r w:rsidR="00D4159B" w:rsidRPr="00D4159B">
        <w:rPr>
          <w:rFonts w:ascii="Tahoma" w:hAnsi="Tahoma" w:cs="Tahoma"/>
          <w:sz w:val="20"/>
          <w:szCs w:val="20"/>
        </w:rPr>
        <w:t xml:space="preserve"> lub</w:t>
      </w:r>
      <w:r w:rsidR="00A03635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listew oraz gładzi starannie wygładzonej, uzyskując </w:t>
      </w:r>
      <w:r w:rsidRPr="00D4159B">
        <w:rPr>
          <w:rFonts w:ascii="Tahoma" w:hAnsi="Tahoma" w:cs="Tahoma"/>
          <w:sz w:val="20"/>
          <w:szCs w:val="20"/>
        </w:rPr>
        <w:t>równą</w:t>
      </w:r>
      <w:r w:rsidR="00D4159B" w:rsidRPr="00D4159B">
        <w:rPr>
          <w:rFonts w:ascii="Tahoma" w:hAnsi="Tahoma" w:cs="Tahoma"/>
          <w:sz w:val="20"/>
          <w:szCs w:val="20"/>
        </w:rPr>
        <w:t xml:space="preserve"> i bardzo gładką powierzchnię.</w:t>
      </w:r>
      <w:r w:rsidR="00A03635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Przygotowanie zapraw do robot tynkarskich powinno być wykonywane mechanicznie. Zaprawę</w:t>
      </w:r>
      <w:r w:rsidR="00A03635">
        <w:rPr>
          <w:rFonts w:ascii="Tahoma" w:hAnsi="Tahoma" w:cs="Tahoma"/>
          <w:sz w:val="20"/>
          <w:szCs w:val="20"/>
        </w:rPr>
        <w:t xml:space="preserve"> należ</w:t>
      </w:r>
      <w:r w:rsidR="00D4159B" w:rsidRPr="00D4159B">
        <w:rPr>
          <w:rFonts w:ascii="Tahoma" w:hAnsi="Tahoma" w:cs="Tahoma"/>
          <w:sz w:val="20"/>
          <w:szCs w:val="20"/>
        </w:rPr>
        <w:t xml:space="preserve">y przygotować w takiej ilości, aby mogła być wbudowana </w:t>
      </w:r>
      <w:r w:rsidR="00A03635" w:rsidRPr="00D4159B">
        <w:rPr>
          <w:rFonts w:ascii="Tahoma" w:hAnsi="Tahoma" w:cs="Tahoma"/>
          <w:sz w:val="20"/>
          <w:szCs w:val="20"/>
        </w:rPr>
        <w:t>możliwie</w:t>
      </w:r>
      <w:r w:rsidR="00D4159B" w:rsidRPr="00D4159B">
        <w:rPr>
          <w:rFonts w:ascii="Tahoma" w:hAnsi="Tahoma" w:cs="Tahoma"/>
          <w:sz w:val="20"/>
          <w:szCs w:val="20"/>
        </w:rPr>
        <w:t xml:space="preserve"> szybko po jej</w:t>
      </w:r>
      <w:r w:rsidR="00A03635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przygotowaniu, tj. w okresie ok. 3 godzin.</w:t>
      </w:r>
      <w:r w:rsidR="00A03635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Na całej powierzchni ścian i </w:t>
      </w:r>
      <w:r w:rsidR="00A03635" w:rsidRPr="00D4159B">
        <w:rPr>
          <w:rFonts w:ascii="Tahoma" w:hAnsi="Tahoma" w:cs="Tahoma"/>
          <w:sz w:val="20"/>
          <w:szCs w:val="20"/>
        </w:rPr>
        <w:t>sufitów</w:t>
      </w:r>
      <w:r w:rsidR="00D4159B" w:rsidRPr="00D4159B">
        <w:rPr>
          <w:rFonts w:ascii="Tahoma" w:hAnsi="Tahoma" w:cs="Tahoma"/>
          <w:sz w:val="20"/>
          <w:szCs w:val="20"/>
        </w:rPr>
        <w:t xml:space="preserve"> tynk powinien być ściśle powiązany z </w:t>
      </w:r>
      <w:r w:rsidR="00A03635" w:rsidRPr="00D4159B">
        <w:rPr>
          <w:rFonts w:ascii="Tahoma" w:hAnsi="Tahoma" w:cs="Tahoma"/>
          <w:sz w:val="20"/>
          <w:szCs w:val="20"/>
        </w:rPr>
        <w:t>podłożem</w:t>
      </w:r>
      <w:r w:rsidR="00D4159B" w:rsidRPr="00D4159B">
        <w:rPr>
          <w:rFonts w:ascii="Tahoma" w:hAnsi="Tahoma" w:cs="Tahoma"/>
          <w:sz w:val="20"/>
          <w:szCs w:val="20"/>
        </w:rPr>
        <w:t>, w tynkach</w:t>
      </w:r>
      <w:r w:rsidR="00A03635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wielowarstwowych </w:t>
      </w:r>
      <w:r w:rsidR="00A03635" w:rsidRPr="00D4159B">
        <w:rPr>
          <w:rFonts w:ascii="Tahoma" w:hAnsi="Tahoma" w:cs="Tahoma"/>
          <w:sz w:val="20"/>
          <w:szCs w:val="20"/>
        </w:rPr>
        <w:t>poszczególne</w:t>
      </w:r>
      <w:r w:rsidR="00D4159B" w:rsidRPr="00D4159B">
        <w:rPr>
          <w:rFonts w:ascii="Tahoma" w:hAnsi="Tahoma" w:cs="Tahoma"/>
          <w:sz w:val="20"/>
          <w:szCs w:val="20"/>
        </w:rPr>
        <w:t xml:space="preserve"> warstwy tynku powinny ściśle do siebie przylegać na całej</w:t>
      </w:r>
      <w:r w:rsidR="00A03635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powierzchni. Marka zaprawy </w:t>
      </w:r>
      <w:r w:rsidR="00A03635">
        <w:rPr>
          <w:rFonts w:ascii="Tahoma" w:hAnsi="Tahoma" w:cs="Tahoma"/>
          <w:sz w:val="20"/>
          <w:szCs w:val="20"/>
        </w:rPr>
        <w:t>u</w:t>
      </w:r>
      <w:r w:rsidR="00A03635" w:rsidRPr="00D4159B">
        <w:rPr>
          <w:rFonts w:ascii="Tahoma" w:hAnsi="Tahoma" w:cs="Tahoma"/>
          <w:sz w:val="20"/>
          <w:szCs w:val="20"/>
        </w:rPr>
        <w:t>żytej</w:t>
      </w:r>
      <w:r w:rsidR="00D4159B" w:rsidRPr="00D4159B">
        <w:rPr>
          <w:rFonts w:ascii="Tahoma" w:hAnsi="Tahoma" w:cs="Tahoma"/>
          <w:sz w:val="20"/>
          <w:szCs w:val="20"/>
        </w:rPr>
        <w:t xml:space="preserve"> do wykonania kolejnych warstw powinna być </w:t>
      </w:r>
      <w:r w:rsidR="00A03635" w:rsidRPr="00D4159B">
        <w:rPr>
          <w:rFonts w:ascii="Tahoma" w:hAnsi="Tahoma" w:cs="Tahoma"/>
          <w:sz w:val="20"/>
          <w:szCs w:val="20"/>
        </w:rPr>
        <w:t>niższa</w:t>
      </w:r>
      <w:r w:rsidR="00A03635">
        <w:rPr>
          <w:rFonts w:ascii="Tahoma" w:hAnsi="Tahoma" w:cs="Tahoma"/>
          <w:sz w:val="20"/>
          <w:szCs w:val="20"/>
        </w:rPr>
        <w:t xml:space="preserve"> niż</w:t>
      </w:r>
      <w:r w:rsidR="00D4159B" w:rsidRPr="00D4159B">
        <w:rPr>
          <w:rFonts w:ascii="Tahoma" w:hAnsi="Tahoma" w:cs="Tahoma"/>
          <w:sz w:val="20"/>
          <w:szCs w:val="20"/>
        </w:rPr>
        <w:t xml:space="preserve"> marka</w:t>
      </w:r>
      <w:r w:rsidR="00A03635">
        <w:rPr>
          <w:rFonts w:ascii="Tahoma" w:hAnsi="Tahoma" w:cs="Tahoma"/>
          <w:sz w:val="20"/>
          <w:szCs w:val="20"/>
        </w:rPr>
        <w:t xml:space="preserve"> zaprawy uż</w:t>
      </w:r>
      <w:r w:rsidR="00D4159B" w:rsidRPr="00D4159B">
        <w:rPr>
          <w:rFonts w:ascii="Tahoma" w:hAnsi="Tahoma" w:cs="Tahoma"/>
          <w:sz w:val="20"/>
          <w:szCs w:val="20"/>
        </w:rPr>
        <w:t>yta na warstwę poprzedzającą.</w:t>
      </w:r>
      <w:r w:rsidR="00A03635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Obrzutkę na </w:t>
      </w:r>
      <w:r w:rsidR="00A03635" w:rsidRPr="00D4159B">
        <w:rPr>
          <w:rFonts w:ascii="Tahoma" w:hAnsi="Tahoma" w:cs="Tahoma"/>
          <w:sz w:val="20"/>
          <w:szCs w:val="20"/>
        </w:rPr>
        <w:t>podłożach</w:t>
      </w:r>
      <w:r w:rsidR="00D4159B" w:rsidRPr="00D4159B">
        <w:rPr>
          <w:rFonts w:ascii="Tahoma" w:hAnsi="Tahoma" w:cs="Tahoma"/>
          <w:sz w:val="20"/>
          <w:szCs w:val="20"/>
        </w:rPr>
        <w:t xml:space="preserve"> ceramicznych, kamiennych, z </w:t>
      </w:r>
      <w:r w:rsidR="00A03635" w:rsidRPr="00D4159B">
        <w:rPr>
          <w:rFonts w:ascii="Tahoma" w:hAnsi="Tahoma" w:cs="Tahoma"/>
          <w:sz w:val="20"/>
          <w:szCs w:val="20"/>
        </w:rPr>
        <w:t>betonów</w:t>
      </w:r>
      <w:r w:rsidR="00D4159B" w:rsidRPr="00D4159B">
        <w:rPr>
          <w:rFonts w:ascii="Tahoma" w:hAnsi="Tahoma" w:cs="Tahoma"/>
          <w:sz w:val="20"/>
          <w:szCs w:val="20"/>
        </w:rPr>
        <w:t xml:space="preserve"> kruszywowych lub z </w:t>
      </w:r>
      <w:r w:rsidR="00A03635" w:rsidRPr="00D4159B">
        <w:rPr>
          <w:rFonts w:ascii="Tahoma" w:hAnsi="Tahoma" w:cs="Tahoma"/>
          <w:sz w:val="20"/>
          <w:szCs w:val="20"/>
        </w:rPr>
        <w:t>betonów</w:t>
      </w:r>
    </w:p>
    <w:p w:rsidR="00D4159B" w:rsidRPr="00D4159B" w:rsidRDefault="00A03635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komórkowych</w:t>
      </w:r>
      <w:r>
        <w:rPr>
          <w:rFonts w:ascii="Tahoma" w:hAnsi="Tahoma" w:cs="Tahoma"/>
          <w:sz w:val="20"/>
          <w:szCs w:val="20"/>
        </w:rPr>
        <w:t xml:space="preserve"> należ</w:t>
      </w:r>
      <w:r w:rsidR="00D4159B" w:rsidRPr="00D4159B">
        <w:rPr>
          <w:rFonts w:ascii="Tahoma" w:hAnsi="Tahoma" w:cs="Tahoma"/>
          <w:sz w:val="20"/>
          <w:szCs w:val="20"/>
        </w:rPr>
        <w:t>y wykonywać z zaprawy cementowej 1:1 o konsystencji odpowiadającej 10-12</w:t>
      </w:r>
      <w:r>
        <w:rPr>
          <w:rFonts w:ascii="Tahoma" w:hAnsi="Tahoma" w:cs="Tahoma"/>
          <w:sz w:val="20"/>
          <w:szCs w:val="20"/>
        </w:rPr>
        <w:t xml:space="preserve"> cm zagłębienia stoż</w:t>
      </w:r>
      <w:r w:rsidR="00D4159B" w:rsidRPr="00D4159B">
        <w:rPr>
          <w:rFonts w:ascii="Tahoma" w:hAnsi="Tahoma" w:cs="Tahoma"/>
          <w:sz w:val="20"/>
          <w:szCs w:val="20"/>
        </w:rPr>
        <w:t xml:space="preserve">ka pomiarowego. Narzut </w:t>
      </w:r>
      <w:r w:rsidRPr="00D4159B">
        <w:rPr>
          <w:rFonts w:ascii="Tahoma" w:hAnsi="Tahoma" w:cs="Tahoma"/>
          <w:sz w:val="20"/>
          <w:szCs w:val="20"/>
        </w:rPr>
        <w:t>tynków</w:t>
      </w:r>
      <w:r>
        <w:rPr>
          <w:rFonts w:ascii="Tahoma" w:hAnsi="Tahoma" w:cs="Tahoma"/>
          <w:sz w:val="20"/>
          <w:szCs w:val="20"/>
        </w:rPr>
        <w:t xml:space="preserve"> trójwarstwowych</w:t>
      </w:r>
      <w:r w:rsidR="00D4159B" w:rsidRPr="00D4159B">
        <w:rPr>
          <w:rFonts w:ascii="Tahoma" w:hAnsi="Tahoma" w:cs="Tahoma"/>
          <w:sz w:val="20"/>
          <w:szCs w:val="20"/>
        </w:rPr>
        <w:t xml:space="preserve"> powinien być nanoszony po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związaniu zaprawy obrzutki, lecz przed jej stwardnieniem. Podczas </w:t>
      </w:r>
      <w:r w:rsidRPr="00D4159B">
        <w:rPr>
          <w:rFonts w:ascii="Tahoma" w:hAnsi="Tahoma" w:cs="Tahoma"/>
          <w:sz w:val="20"/>
          <w:szCs w:val="20"/>
        </w:rPr>
        <w:t>wyrównywania</w:t>
      </w:r>
      <w:r>
        <w:rPr>
          <w:rFonts w:ascii="Tahoma" w:hAnsi="Tahoma" w:cs="Tahoma"/>
          <w:sz w:val="20"/>
          <w:szCs w:val="20"/>
        </w:rPr>
        <w:t xml:space="preserve"> należ</w:t>
      </w:r>
      <w:r w:rsidR="00D4159B" w:rsidRPr="00D4159B">
        <w:rPr>
          <w:rFonts w:ascii="Tahoma" w:hAnsi="Tahoma" w:cs="Tahoma"/>
          <w:sz w:val="20"/>
          <w:szCs w:val="20"/>
        </w:rPr>
        <w:t>y warstwę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narzutu dociskać pacą przesuwaną stale w jednym kierunku. Gładź </w:t>
      </w:r>
      <w:r w:rsidRPr="00D4159B">
        <w:rPr>
          <w:rFonts w:ascii="Tahoma" w:hAnsi="Tahoma" w:cs="Tahoma"/>
          <w:sz w:val="20"/>
          <w:szCs w:val="20"/>
        </w:rPr>
        <w:t>należy</w:t>
      </w:r>
      <w:r w:rsidR="00D4159B" w:rsidRPr="00D4159B">
        <w:rPr>
          <w:rFonts w:ascii="Tahoma" w:hAnsi="Tahoma" w:cs="Tahoma"/>
          <w:sz w:val="20"/>
          <w:szCs w:val="20"/>
        </w:rPr>
        <w:t xml:space="preserve"> nanosić po związaniu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warstwy narzutu, lecz przed jej stwardnieniem. Gładź </w:t>
      </w:r>
      <w:r w:rsidRPr="00D4159B">
        <w:rPr>
          <w:rFonts w:ascii="Tahoma" w:hAnsi="Tahoma" w:cs="Tahoma"/>
          <w:sz w:val="20"/>
          <w:szCs w:val="20"/>
        </w:rPr>
        <w:t>tynków</w:t>
      </w:r>
      <w:r w:rsidR="00D4159B" w:rsidRPr="00D4159B">
        <w:rPr>
          <w:rFonts w:ascii="Tahoma" w:hAnsi="Tahoma" w:cs="Tahoma"/>
          <w:sz w:val="20"/>
          <w:szCs w:val="20"/>
        </w:rPr>
        <w:t xml:space="preserve"> zewnętrznych </w:t>
      </w:r>
      <w:r>
        <w:rPr>
          <w:rFonts w:ascii="Tahoma" w:hAnsi="Tahoma" w:cs="Tahoma"/>
          <w:sz w:val="20"/>
          <w:szCs w:val="20"/>
        </w:rPr>
        <w:t>należ</w:t>
      </w:r>
      <w:r w:rsidRPr="00D4159B">
        <w:rPr>
          <w:rFonts w:ascii="Tahoma" w:hAnsi="Tahoma" w:cs="Tahoma"/>
          <w:sz w:val="20"/>
          <w:szCs w:val="20"/>
        </w:rPr>
        <w:t>y</w:t>
      </w:r>
      <w:r w:rsidR="00D4159B" w:rsidRPr="00D4159B">
        <w:rPr>
          <w:rFonts w:ascii="Tahoma" w:hAnsi="Tahoma" w:cs="Tahoma"/>
          <w:sz w:val="20"/>
          <w:szCs w:val="20"/>
        </w:rPr>
        <w:t xml:space="preserve"> wykonywać z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zaprawy cementowo-wapiennej o stosunku l: l :2. Podczas zacierania warstwę gładzi powinna być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mocno dociskana do warstwy narzutu. Gładź </w:t>
      </w:r>
      <w:r w:rsidRPr="00D4159B">
        <w:rPr>
          <w:rFonts w:ascii="Tahoma" w:hAnsi="Tahoma" w:cs="Tahoma"/>
          <w:sz w:val="20"/>
          <w:szCs w:val="20"/>
        </w:rPr>
        <w:t>należy</w:t>
      </w:r>
      <w:r w:rsidR="00D4159B" w:rsidRPr="00D4159B">
        <w:rPr>
          <w:rFonts w:ascii="Tahoma" w:hAnsi="Tahoma" w:cs="Tahoma"/>
          <w:sz w:val="20"/>
          <w:szCs w:val="20"/>
        </w:rPr>
        <w:t xml:space="preserve"> zacierać jednolicie gładką packą drewnianą.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Gładź </w:t>
      </w:r>
      <w:r w:rsidRPr="00D4159B">
        <w:rPr>
          <w:rFonts w:ascii="Tahoma" w:hAnsi="Tahoma" w:cs="Tahoma"/>
          <w:sz w:val="20"/>
          <w:szCs w:val="20"/>
        </w:rPr>
        <w:t>tynków</w:t>
      </w:r>
      <w:r w:rsidR="00D4159B" w:rsidRPr="00D4159B">
        <w:rPr>
          <w:rFonts w:ascii="Tahoma" w:hAnsi="Tahoma" w:cs="Tahoma"/>
          <w:sz w:val="20"/>
          <w:szCs w:val="20"/>
        </w:rPr>
        <w:t xml:space="preserve"> doborowych powinna być starannie wygładzona packą drewnianą, metalową lub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styropianową. Zaprawa stosowana do wykonania gładzi powinny mieć konsystencję odpowiadającą 7-</w:t>
      </w:r>
    </w:p>
    <w:p w:rsidR="00D4159B" w:rsidRPr="00D4159B" w:rsidRDefault="00A03635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 cm zanurzenia stoż</w:t>
      </w:r>
      <w:r w:rsidR="00D4159B" w:rsidRPr="00D4159B">
        <w:rPr>
          <w:rFonts w:ascii="Tahoma" w:hAnsi="Tahoma" w:cs="Tahoma"/>
          <w:sz w:val="20"/>
          <w:szCs w:val="20"/>
        </w:rPr>
        <w:t>ka pomiarowego.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Tynki wykonywać w temperaturach </w:t>
      </w:r>
      <w:r w:rsidRPr="00D4159B">
        <w:rPr>
          <w:rFonts w:ascii="Tahoma" w:hAnsi="Tahoma" w:cs="Tahoma"/>
          <w:sz w:val="20"/>
          <w:szCs w:val="20"/>
        </w:rPr>
        <w:t>powyżej</w:t>
      </w:r>
      <w:r w:rsidR="00D4159B" w:rsidRPr="00D4159B">
        <w:rPr>
          <w:rFonts w:ascii="Tahoma" w:hAnsi="Tahoma" w:cs="Tahoma"/>
          <w:sz w:val="20"/>
          <w:szCs w:val="20"/>
        </w:rPr>
        <w:t xml:space="preserve"> +5° C i temperaturze całodobowej </w:t>
      </w:r>
      <w:r w:rsidRPr="00D4159B">
        <w:rPr>
          <w:rFonts w:ascii="Tahoma" w:hAnsi="Tahoma" w:cs="Tahoma"/>
          <w:sz w:val="20"/>
          <w:szCs w:val="20"/>
        </w:rPr>
        <w:t>powyżej</w:t>
      </w:r>
      <w:r w:rsidR="00D4159B" w:rsidRPr="00D4159B">
        <w:rPr>
          <w:rFonts w:ascii="Tahoma" w:hAnsi="Tahoma" w:cs="Tahoma"/>
          <w:sz w:val="20"/>
          <w:szCs w:val="20"/>
        </w:rPr>
        <w:t xml:space="preserve"> 0° C –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wykonanie robot w temperaturach </w:t>
      </w:r>
      <w:r w:rsidRPr="00D4159B">
        <w:rPr>
          <w:rFonts w:ascii="Tahoma" w:hAnsi="Tahoma" w:cs="Tahoma"/>
          <w:sz w:val="20"/>
          <w:szCs w:val="20"/>
        </w:rPr>
        <w:t>niższych</w:t>
      </w:r>
      <w:r w:rsidR="00D4159B" w:rsidRPr="00D4159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możliwe</w:t>
      </w:r>
      <w:r w:rsidR="00D4159B" w:rsidRPr="00D4159B">
        <w:rPr>
          <w:rFonts w:ascii="Tahoma" w:hAnsi="Tahoma" w:cs="Tahoma"/>
          <w:sz w:val="20"/>
          <w:szCs w:val="20"/>
        </w:rPr>
        <w:t xml:space="preserve"> jest pod warunkiem stosowania </w:t>
      </w:r>
      <w:r>
        <w:rPr>
          <w:rFonts w:ascii="Tahoma" w:hAnsi="Tahoma" w:cs="Tahoma"/>
          <w:sz w:val="20"/>
          <w:szCs w:val="20"/>
        </w:rPr>
        <w:t xml:space="preserve">reżimu </w:t>
      </w:r>
      <w:r w:rsidR="00D4159B" w:rsidRPr="00D4159B">
        <w:rPr>
          <w:rFonts w:ascii="Tahoma" w:hAnsi="Tahoma" w:cs="Tahoma"/>
          <w:sz w:val="20"/>
          <w:szCs w:val="20"/>
        </w:rPr>
        <w:t xml:space="preserve">technologicznego dla prowadzenia robot budowlanych w okresie </w:t>
      </w:r>
      <w:r w:rsidRPr="00D4159B">
        <w:rPr>
          <w:rFonts w:ascii="Tahoma" w:hAnsi="Tahoma" w:cs="Tahoma"/>
          <w:sz w:val="20"/>
          <w:szCs w:val="20"/>
        </w:rPr>
        <w:t>obniżonych</w:t>
      </w:r>
      <w:r w:rsidR="00D4159B" w:rsidRPr="00D4159B">
        <w:rPr>
          <w:rFonts w:ascii="Tahoma" w:hAnsi="Tahoma" w:cs="Tahoma"/>
          <w:sz w:val="20"/>
          <w:szCs w:val="20"/>
        </w:rPr>
        <w:t xml:space="preserve"> temperatur. Tynki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chronić przed gwałtownym wysychaniem – osłony przed bezpośrednim działaniem promieni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słonecznych i wiatru, a w razie konieczności </w:t>
      </w:r>
      <w:r w:rsidRPr="00D4159B">
        <w:rPr>
          <w:rFonts w:ascii="Tahoma" w:hAnsi="Tahoma" w:cs="Tahoma"/>
          <w:sz w:val="20"/>
          <w:szCs w:val="20"/>
        </w:rPr>
        <w:t>nawilżać</w:t>
      </w:r>
      <w:r>
        <w:rPr>
          <w:rFonts w:ascii="Tahoma" w:hAnsi="Tahoma" w:cs="Tahoma"/>
          <w:sz w:val="20"/>
          <w:szCs w:val="20"/>
        </w:rPr>
        <w:t xml:space="preserve"> w okresie wiązania wodą. Naroż</w:t>
      </w:r>
      <w:r w:rsidR="00D4159B" w:rsidRPr="00D4159B">
        <w:rPr>
          <w:rFonts w:ascii="Tahoma" w:hAnsi="Tahoma" w:cs="Tahoma"/>
          <w:sz w:val="20"/>
          <w:szCs w:val="20"/>
        </w:rPr>
        <w:t xml:space="preserve">a </w:t>
      </w:r>
      <w:r w:rsidRPr="00D4159B">
        <w:rPr>
          <w:rFonts w:ascii="Tahoma" w:hAnsi="Tahoma" w:cs="Tahoma"/>
          <w:sz w:val="20"/>
          <w:szCs w:val="20"/>
        </w:rPr>
        <w:t>otworów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okiennych, drzwiowych i przejść oraz belek chronić wpuszczonymi w tynk </w:t>
      </w:r>
      <w:r w:rsidR="005510B6" w:rsidRPr="00D4159B">
        <w:rPr>
          <w:rFonts w:ascii="Tahoma" w:hAnsi="Tahoma" w:cs="Tahoma"/>
          <w:sz w:val="20"/>
          <w:szCs w:val="20"/>
        </w:rPr>
        <w:t>narożnikami</w:t>
      </w:r>
      <w:r w:rsidR="00D4159B" w:rsidRPr="00D4159B">
        <w:rPr>
          <w:rFonts w:ascii="Tahoma" w:hAnsi="Tahoma" w:cs="Tahoma"/>
          <w:sz w:val="20"/>
          <w:szCs w:val="20"/>
        </w:rPr>
        <w:t xml:space="preserve"> z blachy</w:t>
      </w:r>
      <w:r w:rsidR="005510B6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ocynkowanej. Przy </w:t>
      </w:r>
      <w:r w:rsidR="002740D8" w:rsidRPr="00D4159B">
        <w:rPr>
          <w:rFonts w:ascii="Tahoma" w:hAnsi="Tahoma" w:cs="Tahoma"/>
          <w:sz w:val="20"/>
          <w:szCs w:val="20"/>
        </w:rPr>
        <w:t>ościeżnicach</w:t>
      </w:r>
      <w:r w:rsidR="00D4159B" w:rsidRPr="00D4159B">
        <w:rPr>
          <w:rFonts w:ascii="Tahoma" w:hAnsi="Tahoma" w:cs="Tahoma"/>
          <w:sz w:val="20"/>
          <w:szCs w:val="20"/>
        </w:rPr>
        <w:t xml:space="preserve"> i podokiennikach styk tynku z powierzchniami </w:t>
      </w:r>
      <w:r w:rsidR="00D4159B" w:rsidRPr="00D4159B">
        <w:rPr>
          <w:rFonts w:ascii="Tahoma" w:hAnsi="Tahoma" w:cs="Tahoma"/>
          <w:sz w:val="20"/>
          <w:szCs w:val="20"/>
        </w:rPr>
        <w:lastRenderedPageBreak/>
        <w:t>wykończonymi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inaczej zabezpieczyć przed pęknięciami przez odcięcie, to jest pozostawienie bruzdy szerokości 2 mm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przechodzącej przez całą grubość tynku.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W murze ceglanym spoiny powinny być nie zapełnione zaprawą na głębokość 10-15 mm od lica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muru. </w:t>
      </w:r>
      <w:r w:rsidR="002740D8" w:rsidRPr="00D4159B">
        <w:rPr>
          <w:rFonts w:ascii="Tahoma" w:hAnsi="Tahoma" w:cs="Tahoma"/>
          <w:sz w:val="20"/>
          <w:szCs w:val="20"/>
        </w:rPr>
        <w:t>Jeżeli</w:t>
      </w:r>
      <w:r w:rsidRPr="00D4159B">
        <w:rPr>
          <w:rFonts w:ascii="Tahoma" w:hAnsi="Tahoma" w:cs="Tahoma"/>
          <w:sz w:val="20"/>
          <w:szCs w:val="20"/>
        </w:rPr>
        <w:t xml:space="preserve"> mur jest wykonany na spoiny pełne, </w:t>
      </w:r>
      <w:r w:rsidR="002740D8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je wyskrobać na głębokość jak </w:t>
      </w:r>
      <w:r w:rsidR="002740D8" w:rsidRPr="00D4159B">
        <w:rPr>
          <w:rFonts w:ascii="Tahoma" w:hAnsi="Tahoma" w:cs="Tahoma"/>
          <w:sz w:val="20"/>
          <w:szCs w:val="20"/>
        </w:rPr>
        <w:t>wyżej</w:t>
      </w:r>
      <w:r w:rsidRPr="00D4159B">
        <w:rPr>
          <w:rFonts w:ascii="Tahoma" w:hAnsi="Tahoma" w:cs="Tahoma"/>
          <w:sz w:val="20"/>
          <w:szCs w:val="20"/>
        </w:rPr>
        <w:t xml:space="preserve"> lub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zastosować specjalne środki zapewniające </w:t>
      </w:r>
      <w:r w:rsidR="002740D8" w:rsidRPr="00D4159B">
        <w:rPr>
          <w:rFonts w:ascii="Tahoma" w:hAnsi="Tahoma" w:cs="Tahoma"/>
          <w:sz w:val="20"/>
          <w:szCs w:val="20"/>
        </w:rPr>
        <w:t>należytą</w:t>
      </w:r>
      <w:r w:rsidRPr="00D4159B">
        <w:rPr>
          <w:rFonts w:ascii="Tahoma" w:hAnsi="Tahoma" w:cs="Tahoma"/>
          <w:sz w:val="20"/>
          <w:szCs w:val="20"/>
        </w:rPr>
        <w:t xml:space="preserve"> przyczepność tynku do </w:t>
      </w:r>
      <w:r w:rsidR="002740D8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.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Bezpośrednio przed tynkowaniem </w:t>
      </w:r>
      <w:r w:rsidR="002740D8" w:rsidRPr="00D4159B">
        <w:rPr>
          <w:rFonts w:ascii="Tahoma" w:hAnsi="Tahoma" w:cs="Tahoma"/>
          <w:sz w:val="20"/>
          <w:szCs w:val="20"/>
        </w:rPr>
        <w:t>podłoże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2740D8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oczyścić z kurzu szczotkami oraz usunąć plamy z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rdzy i substancji tłustych.</w:t>
      </w:r>
      <w:r w:rsidR="002740D8">
        <w:rPr>
          <w:rFonts w:ascii="Tahoma" w:hAnsi="Tahoma" w:cs="Tahoma"/>
          <w:sz w:val="20"/>
          <w:szCs w:val="20"/>
        </w:rPr>
        <w:t xml:space="preserve"> Plamy z substancji tłustych moż</w:t>
      </w:r>
      <w:r w:rsidRPr="00D4159B">
        <w:rPr>
          <w:rFonts w:ascii="Tahoma" w:hAnsi="Tahoma" w:cs="Tahoma"/>
          <w:sz w:val="20"/>
          <w:szCs w:val="20"/>
        </w:rPr>
        <w:t>na usunąć przez zmycie 10% roztworem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szarego mydła lub przez wypalenie lampą benzynową. Nadmiernie suchą powierzchnię muru </w:t>
      </w:r>
      <w:r w:rsidR="002740D8" w:rsidRPr="00D4159B">
        <w:rPr>
          <w:rFonts w:ascii="Tahoma" w:hAnsi="Tahoma" w:cs="Tahoma"/>
          <w:sz w:val="20"/>
          <w:szCs w:val="20"/>
        </w:rPr>
        <w:t>należy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="002740D8" w:rsidRPr="00D4159B">
        <w:rPr>
          <w:rFonts w:ascii="Tahoma" w:hAnsi="Tahoma" w:cs="Tahoma"/>
          <w:sz w:val="20"/>
          <w:szCs w:val="20"/>
        </w:rPr>
        <w:t>zwilżyć</w:t>
      </w:r>
      <w:r w:rsidRPr="00D4159B">
        <w:rPr>
          <w:rFonts w:ascii="Tahoma" w:hAnsi="Tahoma" w:cs="Tahoma"/>
          <w:sz w:val="20"/>
          <w:szCs w:val="20"/>
        </w:rPr>
        <w:t xml:space="preserve"> wodą.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Elementy metalowe (kształtowniki, blachy) powinny być na całej powierzchni owinięte siatką stalową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lub druciano-ceramiczną przewiązaną drutem lub w inny </w:t>
      </w:r>
      <w:r w:rsidR="002740D8" w:rsidRPr="00D4159B">
        <w:rPr>
          <w:rFonts w:ascii="Tahoma" w:hAnsi="Tahoma" w:cs="Tahoma"/>
          <w:sz w:val="20"/>
          <w:szCs w:val="20"/>
        </w:rPr>
        <w:t>sposób</w:t>
      </w:r>
      <w:r w:rsidRPr="00D4159B">
        <w:rPr>
          <w:rFonts w:ascii="Tahoma" w:hAnsi="Tahoma" w:cs="Tahoma"/>
          <w:sz w:val="20"/>
          <w:szCs w:val="20"/>
        </w:rPr>
        <w:t xml:space="preserve"> zamocowaną trwale do </w:t>
      </w:r>
      <w:r w:rsidR="002740D8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.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Elementy i siatkę </w:t>
      </w:r>
      <w:r w:rsidR="00CA1F30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uprzednio oczyścić z łuszczącej się rdzy i innych zanieczyszczeń (zwłaszcza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tłustych), a w przypadku </w:t>
      </w:r>
      <w:r w:rsidR="002740D8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cementowych i cementowo-wapiennych - dwukrotnie powlec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zaczynem cementowym.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Siatka stanowiąca samodzielne </w:t>
      </w:r>
      <w:r w:rsidR="002740D8" w:rsidRPr="00D4159B">
        <w:rPr>
          <w:rFonts w:ascii="Tahoma" w:hAnsi="Tahoma" w:cs="Tahoma"/>
          <w:sz w:val="20"/>
          <w:szCs w:val="20"/>
        </w:rPr>
        <w:t>podłoże</w:t>
      </w:r>
      <w:r w:rsidRPr="00D4159B">
        <w:rPr>
          <w:rFonts w:ascii="Tahoma" w:hAnsi="Tahoma" w:cs="Tahoma"/>
          <w:sz w:val="20"/>
          <w:szCs w:val="20"/>
        </w:rPr>
        <w:t xml:space="preserve"> powinna być dostatecznie sztywna o oczkach nie większych</w:t>
      </w:r>
      <w:r w:rsidR="002740D8">
        <w:rPr>
          <w:rFonts w:ascii="Tahoma" w:hAnsi="Tahoma" w:cs="Tahoma"/>
          <w:sz w:val="20"/>
          <w:szCs w:val="20"/>
        </w:rPr>
        <w:t xml:space="preserve"> niż</w:t>
      </w:r>
      <w:r w:rsidRPr="00D4159B">
        <w:rPr>
          <w:rFonts w:ascii="Tahoma" w:hAnsi="Tahoma" w:cs="Tahoma"/>
          <w:sz w:val="20"/>
          <w:szCs w:val="20"/>
        </w:rPr>
        <w:t xml:space="preserve"> 100x100 mm i wzmocniona drutami lub prętami stalowymi.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5.3. Wykonanie gładzi gipsowych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Przed przystąpieniem do wykonywania gładzi gipsowych powinny być zakończone wszystkie roboty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stanu surowego, roboty instalacyjne podtynkowe, zamurowane przebicia i bruzdy, osadzone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="00CA1F30" w:rsidRPr="00D4159B">
        <w:rPr>
          <w:rFonts w:ascii="Tahoma" w:hAnsi="Tahoma" w:cs="Tahoma"/>
          <w:sz w:val="20"/>
          <w:szCs w:val="20"/>
        </w:rPr>
        <w:t>ościeżnice</w:t>
      </w:r>
      <w:r w:rsidRPr="00D4159B">
        <w:rPr>
          <w:rFonts w:ascii="Tahoma" w:hAnsi="Tahoma" w:cs="Tahoma"/>
          <w:sz w:val="20"/>
          <w:szCs w:val="20"/>
        </w:rPr>
        <w:t xml:space="preserve"> drzwiowe.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Przygotowanie </w:t>
      </w:r>
      <w:r w:rsidR="00CA1F30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 xml:space="preserve"> przed wykonaniem gładzi gipsowych polega na oczyszczeniu z substancji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tłuszczowych i powłok malarskich, odkurzeniu i zagruntowaniu preparatem zmniejszającym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nasiąkliwość i wzmacniającym powierzchniowo </w:t>
      </w:r>
      <w:r w:rsidR="002740D8" w:rsidRPr="00D4159B">
        <w:rPr>
          <w:rFonts w:ascii="Tahoma" w:hAnsi="Tahoma" w:cs="Tahoma"/>
          <w:sz w:val="20"/>
          <w:szCs w:val="20"/>
        </w:rPr>
        <w:t>podłoże</w:t>
      </w:r>
      <w:r w:rsidRPr="00D4159B">
        <w:rPr>
          <w:rFonts w:ascii="Tahoma" w:hAnsi="Tahoma" w:cs="Tahoma"/>
          <w:sz w:val="20"/>
          <w:szCs w:val="20"/>
        </w:rPr>
        <w:t xml:space="preserve">. Nakładanie gładzi </w:t>
      </w:r>
      <w:r w:rsidR="002740D8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wykonywać pacą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stalową nierdzewną. Na ścianach wykonujemy gładź, zaczynając określoną szerokością od posadzki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do </w:t>
      </w:r>
      <w:r w:rsidR="002740D8" w:rsidRPr="00D4159B">
        <w:rPr>
          <w:rFonts w:ascii="Tahoma" w:hAnsi="Tahoma" w:cs="Tahoma"/>
          <w:sz w:val="20"/>
          <w:szCs w:val="20"/>
        </w:rPr>
        <w:t>góry</w:t>
      </w:r>
      <w:r w:rsidRPr="00D4159B">
        <w:rPr>
          <w:rFonts w:ascii="Tahoma" w:hAnsi="Tahoma" w:cs="Tahoma"/>
          <w:sz w:val="20"/>
          <w:szCs w:val="20"/>
        </w:rPr>
        <w:t xml:space="preserve"> w kierunku sufitu. Zalecana minimalna grubość jednej warstwy gładzi wynosi minimum 2mm. Wykończenie gładzi gipsowych wykonujemy po jej całkowitym wyschnięciu. Gładź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wykańczamy poprzez wstępne przeszlifowanie ręczne na całej powierzchni drobnoziarnistym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papierem ściernym albo specjalną siateczką do szlifowania nr 100, a następnie doprowadzamy do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idealnej gładzi szlifując siateczką nr 180. Ozdobne gipsowe listwy na klatce schodowej po prawej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stronie budynku muszą być wiernie odtworzone na podstawie istniejących.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6. KONTROLA JAKOŚCI ROBÓT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6.1 Wymagania ogólne</w:t>
      </w:r>
    </w:p>
    <w:p w:rsidR="00D4159B" w:rsidRPr="00D4159B" w:rsidRDefault="005E667E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Ogólne</w:t>
      </w:r>
      <w:r w:rsidR="00D4159B" w:rsidRPr="00D4159B">
        <w:rPr>
          <w:rFonts w:ascii="Tahoma" w:hAnsi="Tahoma" w:cs="Tahoma"/>
          <w:sz w:val="20"/>
          <w:szCs w:val="20"/>
        </w:rPr>
        <w:t xml:space="preserve"> wymagania dotyczące kontroli robot podano w STO.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6.2 Wymagania szczegółowe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Kontroli podczas robot tynkarskich podlegają ich wszystkie warstwy: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-prawidłowość napraw </w:t>
      </w:r>
      <w:r w:rsidR="005E667E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-prawidłowość wykonania warstw gruntujących,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-prawidłowość wykonania </w:t>
      </w:r>
      <w:r w:rsidR="003628C2" w:rsidRPr="00D4159B">
        <w:rPr>
          <w:rFonts w:ascii="Tahoma" w:hAnsi="Tahoma" w:cs="Tahoma"/>
          <w:sz w:val="20"/>
          <w:szCs w:val="20"/>
        </w:rPr>
        <w:t>poszczególnych</w:t>
      </w:r>
      <w:r w:rsidRPr="00D4159B">
        <w:rPr>
          <w:rFonts w:ascii="Tahoma" w:hAnsi="Tahoma" w:cs="Tahoma"/>
          <w:sz w:val="20"/>
          <w:szCs w:val="20"/>
        </w:rPr>
        <w:t xml:space="preserve"> warstw tynku.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Kontrola wykonania powierzchni </w:t>
      </w:r>
      <w:r w:rsidR="003628C2" w:rsidRPr="00D4159B">
        <w:rPr>
          <w:rFonts w:ascii="Tahoma" w:hAnsi="Tahoma" w:cs="Tahoma"/>
          <w:sz w:val="20"/>
          <w:szCs w:val="20"/>
        </w:rPr>
        <w:t>tynków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Dopuszczalne odchylenia płaszczyzny </w:t>
      </w:r>
      <w:r w:rsidR="003628C2" w:rsidRPr="00D4159B">
        <w:rPr>
          <w:rFonts w:ascii="Tahoma" w:hAnsi="Tahoma" w:cs="Tahoma"/>
          <w:sz w:val="20"/>
          <w:szCs w:val="20"/>
        </w:rPr>
        <w:t>tynków</w:t>
      </w:r>
      <w:r w:rsidR="00C57F2A">
        <w:rPr>
          <w:rFonts w:ascii="Tahoma" w:hAnsi="Tahoma" w:cs="Tahoma"/>
          <w:sz w:val="20"/>
          <w:szCs w:val="20"/>
        </w:rPr>
        <w:t xml:space="preserve"> cementowo-wapiennych należ</w:t>
      </w:r>
      <w:r w:rsidRPr="00D4159B">
        <w:rPr>
          <w:rFonts w:ascii="Tahoma" w:hAnsi="Tahoma" w:cs="Tahoma"/>
          <w:sz w:val="20"/>
          <w:szCs w:val="20"/>
        </w:rPr>
        <w:t xml:space="preserve">y przyjąć jak dla </w:t>
      </w:r>
      <w:r w:rsidR="00C57F2A" w:rsidRPr="00D4159B">
        <w:rPr>
          <w:rFonts w:ascii="Tahoma" w:hAnsi="Tahoma" w:cs="Tahoma"/>
          <w:sz w:val="20"/>
          <w:szCs w:val="20"/>
        </w:rPr>
        <w:t>tynków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kategorii III zgodnie z normą PN-70/B-10100 ,,Roboty tynkowe. Tynki zwykłe. Wymagania i badania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przy odbiorze” wg </w:t>
      </w:r>
      <w:r w:rsidR="003628C2" w:rsidRPr="00D4159B">
        <w:rPr>
          <w:rFonts w:ascii="Tahoma" w:hAnsi="Tahoma" w:cs="Tahoma"/>
          <w:sz w:val="20"/>
          <w:szCs w:val="20"/>
        </w:rPr>
        <w:t>poniższej</w:t>
      </w:r>
      <w:r w:rsidRPr="00D4159B">
        <w:rPr>
          <w:rFonts w:ascii="Tahoma" w:hAnsi="Tahoma" w:cs="Tahoma"/>
          <w:sz w:val="20"/>
          <w:szCs w:val="20"/>
        </w:rPr>
        <w:t xml:space="preserve"> tabeli: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1843"/>
        <w:gridCol w:w="2126"/>
        <w:gridCol w:w="2153"/>
        <w:gridCol w:w="1842"/>
      </w:tblGrid>
      <w:tr w:rsidR="003628C2" w:rsidTr="00F34E39">
        <w:tc>
          <w:tcPr>
            <w:tcW w:w="1242" w:type="dxa"/>
            <w:vMerge w:val="restart"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Kategoria tynku</w:t>
            </w:r>
          </w:p>
        </w:tc>
        <w:tc>
          <w:tcPr>
            <w:tcW w:w="1843" w:type="dxa"/>
            <w:vMerge w:val="restart"/>
          </w:tcPr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Odchylenia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powierzchni tynku od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płaszczyzny i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odchylenie krawędzi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od linii prostej</w:t>
            </w:r>
          </w:p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79" w:type="dxa"/>
            <w:gridSpan w:val="2"/>
          </w:tcPr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Odchylenie powierzchni i krawędzi od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kierunku</w:t>
            </w:r>
          </w:p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Odchylenie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przecinających się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płaszczyzn od kąta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przewidzianego w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dokumentacji</w:t>
            </w:r>
          </w:p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8C2" w:rsidTr="00F34E39">
        <w:tc>
          <w:tcPr>
            <w:tcW w:w="1242" w:type="dxa"/>
            <w:vMerge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pionowego</w:t>
            </w:r>
          </w:p>
        </w:tc>
        <w:tc>
          <w:tcPr>
            <w:tcW w:w="2153" w:type="dxa"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poziomego</w:t>
            </w:r>
          </w:p>
        </w:tc>
        <w:tc>
          <w:tcPr>
            <w:tcW w:w="1842" w:type="dxa"/>
            <w:vMerge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8C2" w:rsidTr="00F34E39">
        <w:tc>
          <w:tcPr>
            <w:tcW w:w="1242" w:type="dxa"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0 I Ia</w:t>
            </w:r>
          </w:p>
        </w:tc>
        <w:tc>
          <w:tcPr>
            <w:tcW w:w="7964" w:type="dxa"/>
            <w:gridSpan w:val="4"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Nie podlegają sprawdzeniu</w:t>
            </w:r>
          </w:p>
        </w:tc>
      </w:tr>
      <w:tr w:rsidR="003628C2" w:rsidTr="00F34E39">
        <w:tc>
          <w:tcPr>
            <w:tcW w:w="1242" w:type="dxa"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843" w:type="dxa"/>
          </w:tcPr>
          <w:p w:rsidR="00F34E39" w:rsidRPr="00D4159B" w:rsidRDefault="00F34E39" w:rsidP="00F34E3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większe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4 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 całej </w:t>
            </w:r>
            <w:r w:rsidRPr="00D4159B">
              <w:rPr>
                <w:rFonts w:ascii="Tahoma" w:hAnsi="Tahoma" w:cs="Tahoma"/>
                <w:sz w:val="20"/>
                <w:szCs w:val="20"/>
              </w:rPr>
              <w:t>długości łaty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kontrolnej 2 m</w:t>
            </w:r>
          </w:p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Nie większe niż 3 mm </w:t>
            </w:r>
            <w:r w:rsidRPr="00D4159B">
              <w:rPr>
                <w:rFonts w:ascii="Tahoma" w:hAnsi="Tahoma" w:cs="Tahoma"/>
                <w:sz w:val="20"/>
                <w:szCs w:val="20"/>
              </w:rPr>
              <w:t>na 1 m</w:t>
            </w:r>
          </w:p>
          <w:p w:rsidR="003628C2" w:rsidRDefault="003628C2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3" w:type="dxa"/>
          </w:tcPr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Nie wi</w:t>
            </w:r>
            <w:r>
              <w:rPr>
                <w:rFonts w:ascii="Tahoma" w:hAnsi="Tahoma" w:cs="Tahoma"/>
                <w:sz w:val="20"/>
                <w:szCs w:val="20"/>
              </w:rPr>
              <w:t>ększe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4 mm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na 1 m i ogółem nie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więcej niż </w:t>
            </w:r>
            <w:r w:rsidRPr="00D4159B">
              <w:rPr>
                <w:rFonts w:ascii="Tahoma" w:hAnsi="Tahoma" w:cs="Tahoma"/>
                <w:sz w:val="20"/>
                <w:szCs w:val="20"/>
              </w:rPr>
              <w:t>10 mm na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całej powierzchni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ograniczonej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przegrodami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pionowymi (ściany,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belki itp.)</w:t>
            </w:r>
          </w:p>
          <w:p w:rsidR="003628C2" w:rsidRDefault="003628C2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większe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4 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na 1 m</w:t>
            </w:r>
          </w:p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8C2" w:rsidTr="00F34E39">
        <w:tc>
          <w:tcPr>
            <w:tcW w:w="1242" w:type="dxa"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843" w:type="dxa"/>
          </w:tcPr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większe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3 </w:t>
            </w:r>
            <w:r w:rsidRPr="00D4159B">
              <w:rPr>
                <w:rFonts w:ascii="Tahoma" w:hAnsi="Tahoma" w:cs="Tahoma"/>
                <w:sz w:val="20"/>
                <w:szCs w:val="20"/>
              </w:rPr>
              <w:lastRenderedPageBreak/>
              <w:t>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i w liczbie nie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większej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3 na całej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długości łaty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kontrolnej 2 m</w:t>
            </w:r>
          </w:p>
          <w:p w:rsidR="003628C2" w:rsidRDefault="003628C2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Nie większe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2 mm</w:t>
            </w:r>
          </w:p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lastRenderedPageBreak/>
              <w:t>na 1 m i ogółem nie</w:t>
            </w:r>
          </w:p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więcej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4 mm w</w:t>
            </w:r>
          </w:p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pomieszczeniach do</w:t>
            </w:r>
          </w:p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3,5 m wysokości oraz</w:t>
            </w:r>
          </w:p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więcej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6 mm w</w:t>
            </w:r>
          </w:p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pomieszczeniach</w:t>
            </w:r>
          </w:p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powyżej 3,5 m</w:t>
            </w:r>
          </w:p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wysokości</w:t>
            </w:r>
          </w:p>
          <w:p w:rsidR="003628C2" w:rsidRDefault="003628C2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3" w:type="dxa"/>
          </w:tcPr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Nie większe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3 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lastRenderedPageBreak/>
              <w:t>na 1 m i ogółem 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więcej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6 mm 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całej powierzchni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ograniczonej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przegrodami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pionowymi </w:t>
            </w:r>
            <w:r w:rsidRPr="00D4159B">
              <w:rPr>
                <w:rFonts w:ascii="Tahoma" w:hAnsi="Tahoma" w:cs="Tahoma"/>
                <w:sz w:val="20"/>
                <w:szCs w:val="20"/>
              </w:rPr>
              <w:t>(ściany,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belki itp.)</w:t>
            </w:r>
          </w:p>
          <w:p w:rsidR="003628C2" w:rsidRDefault="003628C2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8C2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Nie większe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3 </w:t>
            </w:r>
            <w:r w:rsidRPr="00D4159B">
              <w:rPr>
                <w:rFonts w:ascii="Tahoma" w:hAnsi="Tahoma" w:cs="Tahoma"/>
                <w:sz w:val="20"/>
                <w:szCs w:val="20"/>
              </w:rPr>
              <w:lastRenderedPageBreak/>
              <w:t>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na 1 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628C2" w:rsidTr="00F34E39">
        <w:tc>
          <w:tcPr>
            <w:tcW w:w="1242" w:type="dxa"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lastRenderedPageBreak/>
              <w:t>IV Ivf Ivw</w:t>
            </w:r>
          </w:p>
        </w:tc>
        <w:tc>
          <w:tcPr>
            <w:tcW w:w="1843" w:type="dxa"/>
          </w:tcPr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Nie więks</w:t>
            </w:r>
            <w:r>
              <w:rPr>
                <w:rFonts w:ascii="Tahoma" w:hAnsi="Tahoma" w:cs="Tahoma"/>
                <w:sz w:val="20"/>
                <w:szCs w:val="20"/>
              </w:rPr>
              <w:t>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2 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i w liczbie 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większej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2 na całej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długości łaty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kontrolnej 2 m</w:t>
            </w:r>
          </w:p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40D8" w:rsidRPr="00DF7E45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E45">
              <w:rPr>
                <w:rFonts w:ascii="Tahoma" w:hAnsi="Tahoma" w:cs="Tahoma"/>
                <w:sz w:val="20"/>
                <w:szCs w:val="20"/>
              </w:rPr>
              <w:t>Nie większe niż 1,5</w:t>
            </w:r>
          </w:p>
          <w:p w:rsidR="002740D8" w:rsidRPr="00DF7E45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E45">
              <w:rPr>
                <w:rFonts w:ascii="Tahoma" w:hAnsi="Tahoma" w:cs="Tahoma"/>
                <w:sz w:val="20"/>
                <w:szCs w:val="20"/>
              </w:rPr>
              <w:t>mm na 1 m i ogółem</w:t>
            </w:r>
          </w:p>
          <w:p w:rsidR="002740D8" w:rsidRPr="00DF7E45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E45">
              <w:rPr>
                <w:rFonts w:ascii="Tahoma" w:hAnsi="Tahoma" w:cs="Tahoma"/>
                <w:sz w:val="20"/>
                <w:szCs w:val="20"/>
              </w:rPr>
              <w:t>nie więcej niż 3 mm w pomieszczeniach do 3,5 m wysokości oraz nie więcej niż 4 mm w pomieszczeniach powyżej 3,5 m</w:t>
            </w:r>
          </w:p>
          <w:p w:rsidR="003628C2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E45">
              <w:rPr>
                <w:rFonts w:ascii="Tahoma" w:hAnsi="Tahoma" w:cs="Tahoma"/>
                <w:sz w:val="20"/>
                <w:szCs w:val="20"/>
              </w:rPr>
              <w:t>wysokości</w:t>
            </w:r>
          </w:p>
        </w:tc>
        <w:tc>
          <w:tcPr>
            <w:tcW w:w="2153" w:type="dxa"/>
          </w:tcPr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 xml:space="preserve">Nie większe </w:t>
            </w:r>
            <w:r>
              <w:rPr>
                <w:rFonts w:ascii="Tahoma" w:hAnsi="Tahoma" w:cs="Tahoma"/>
                <w:sz w:val="20"/>
                <w:szCs w:val="20"/>
              </w:rPr>
              <w:t>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2 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na 1 m i ogółem 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więcej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3 mm 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całej powierzchni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ograniczonej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przegrodami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pionowymi (ściany,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7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belki itp.)</w:t>
            </w:r>
          </w:p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większe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2 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na 1 m</w:t>
            </w:r>
          </w:p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28C2" w:rsidRDefault="003628C2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Dla wszystkich odmian </w:t>
      </w:r>
      <w:r w:rsidR="00214FD9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są niedopuszczalne następujące wady: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a) wykwity w postaci nalotu wykrystalizowanych na powierzchni </w:t>
      </w:r>
      <w:r w:rsidR="00214FD9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214FD9" w:rsidRPr="00D4159B">
        <w:rPr>
          <w:rFonts w:ascii="Tahoma" w:hAnsi="Tahoma" w:cs="Tahoma"/>
          <w:sz w:val="20"/>
          <w:szCs w:val="20"/>
        </w:rPr>
        <w:t>roztworów</w:t>
      </w:r>
      <w:r w:rsidRPr="00D4159B">
        <w:rPr>
          <w:rFonts w:ascii="Tahoma" w:hAnsi="Tahoma" w:cs="Tahoma"/>
          <w:sz w:val="20"/>
          <w:szCs w:val="20"/>
        </w:rPr>
        <w:t xml:space="preserve"> soli,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przenikających z </w:t>
      </w:r>
      <w:r w:rsidR="00214FD9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, pleśni itp..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b) trwałe ślady </w:t>
      </w:r>
      <w:r w:rsidR="00214FD9" w:rsidRPr="00D4159B">
        <w:rPr>
          <w:rFonts w:ascii="Tahoma" w:hAnsi="Tahoma" w:cs="Tahoma"/>
          <w:sz w:val="20"/>
          <w:szCs w:val="20"/>
        </w:rPr>
        <w:t>zacieków</w:t>
      </w:r>
      <w:r w:rsidRPr="00D4159B">
        <w:rPr>
          <w:rFonts w:ascii="Tahoma" w:hAnsi="Tahoma" w:cs="Tahoma"/>
          <w:sz w:val="20"/>
          <w:szCs w:val="20"/>
        </w:rPr>
        <w:t xml:space="preserve"> na powierzchni,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c) odstawanie, odparzenia i pęcherze wskutek niedostatecznej przyczepności pyłku do </w:t>
      </w:r>
      <w:r w:rsidR="00214FD9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.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Badania przed przystąpieniem do wykonania gładzi gipsowych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Przed przystąpieniem do robot Wykonawca powinien wykonać badania </w:t>
      </w:r>
      <w:r w:rsidR="00214FD9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przeznaczonych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do wykonania robot i przedstawić wyniki tych badań Inspektorowi nadzoru do akceptacji.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Badania w czasie wykonywania gładzi gipsowych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Częstotliwość oraz zakres badań zaprawy wytwarzanej na placu budowy, a w </w:t>
      </w:r>
      <w:r w:rsidR="00214FD9" w:rsidRPr="00D4159B">
        <w:rPr>
          <w:rFonts w:ascii="Tahoma" w:hAnsi="Tahoma" w:cs="Tahoma"/>
          <w:sz w:val="20"/>
          <w:szCs w:val="20"/>
        </w:rPr>
        <w:t>szczególności</w:t>
      </w:r>
      <w:r w:rsidRPr="00D4159B">
        <w:rPr>
          <w:rFonts w:ascii="Tahoma" w:hAnsi="Tahoma" w:cs="Tahoma"/>
          <w:sz w:val="20"/>
          <w:szCs w:val="20"/>
        </w:rPr>
        <w:t xml:space="preserve"> jej marki i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konsystencji, powinny wynikać z normy PN-B-30042:1997 „Spoiwa gipsowe. Gipsy szpachlowe, gips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tynkarski i klej gipsowy". Wyniki badań </w:t>
      </w:r>
      <w:r w:rsidR="00214FD9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i zaprawy powinny być wpisywane do dziennika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budowy i akceptowane przez Inspektora nadzoru.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Badania w czasie odbioru gładzi gipsowych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Badania gładzi gipsowych powinny </w:t>
      </w:r>
      <w:r w:rsidR="00214FD9" w:rsidRPr="00D4159B">
        <w:rPr>
          <w:rFonts w:ascii="Tahoma" w:hAnsi="Tahoma" w:cs="Tahoma"/>
          <w:sz w:val="20"/>
          <w:szCs w:val="20"/>
        </w:rPr>
        <w:t>umożliwić</w:t>
      </w:r>
      <w:r w:rsidRPr="00D4159B">
        <w:rPr>
          <w:rFonts w:ascii="Tahoma" w:hAnsi="Tahoma" w:cs="Tahoma"/>
          <w:sz w:val="20"/>
          <w:szCs w:val="20"/>
        </w:rPr>
        <w:t xml:space="preserve"> ocenę wszystkich wymagań, a w </w:t>
      </w:r>
      <w:r w:rsidR="00214FD9" w:rsidRPr="00D4159B">
        <w:rPr>
          <w:rFonts w:ascii="Tahoma" w:hAnsi="Tahoma" w:cs="Tahoma"/>
          <w:sz w:val="20"/>
          <w:szCs w:val="20"/>
        </w:rPr>
        <w:t>szczególności</w:t>
      </w:r>
      <w:r w:rsidRPr="00D4159B">
        <w:rPr>
          <w:rFonts w:ascii="Tahoma" w:hAnsi="Tahoma" w:cs="Tahoma"/>
          <w:sz w:val="20"/>
          <w:szCs w:val="20"/>
        </w:rPr>
        <w:t>: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 xml:space="preserve"> zgodności z dokumentacją projektową,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 xml:space="preserve"> jakości zastosowanych </w:t>
      </w:r>
      <w:r w:rsidRPr="00D4159B">
        <w:rPr>
          <w:rFonts w:ascii="Tahoma" w:hAnsi="Tahoma" w:cs="Tahoma"/>
          <w:sz w:val="20"/>
          <w:szCs w:val="20"/>
        </w:rPr>
        <w:t>materiałów</w:t>
      </w:r>
      <w:r w:rsidR="00D4159B" w:rsidRPr="00D4159B">
        <w:rPr>
          <w:rFonts w:ascii="Tahoma" w:hAnsi="Tahoma" w:cs="Tahoma"/>
          <w:sz w:val="20"/>
          <w:szCs w:val="20"/>
        </w:rPr>
        <w:t xml:space="preserve"> i </w:t>
      </w:r>
      <w:r w:rsidRPr="00D4159B">
        <w:rPr>
          <w:rFonts w:ascii="Tahoma" w:hAnsi="Tahoma" w:cs="Tahoma"/>
          <w:sz w:val="20"/>
          <w:szCs w:val="20"/>
        </w:rPr>
        <w:t>wyrobów</w:t>
      </w:r>
      <w:r w:rsidR="00D4159B"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D4159B" w:rsidRPr="00D4159B">
        <w:rPr>
          <w:rFonts w:ascii="Tahoma" w:hAnsi="Tahoma" w:cs="Tahoma"/>
          <w:sz w:val="20"/>
          <w:szCs w:val="20"/>
        </w:rPr>
        <w:t xml:space="preserve">prawidłowości przygotowania </w:t>
      </w:r>
      <w:r w:rsidRPr="00D4159B">
        <w:rPr>
          <w:rFonts w:ascii="Tahoma" w:hAnsi="Tahoma" w:cs="Tahoma"/>
          <w:sz w:val="20"/>
          <w:szCs w:val="20"/>
        </w:rPr>
        <w:t>podłoży</w:t>
      </w:r>
      <w:r w:rsidR="00D4159B"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 xml:space="preserve"> prawidłowość wykonania gładzi.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Dopuszczalne odchylenia powierzchni gładzi od płaszczyzny i odchylenie krawędzi od linii prostej nie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mogą być większe niż</w:t>
      </w:r>
      <w:r w:rsidR="00D4159B" w:rsidRPr="00D4159B">
        <w:rPr>
          <w:rFonts w:ascii="Tahoma" w:hAnsi="Tahoma" w:cs="Tahoma"/>
          <w:sz w:val="20"/>
          <w:szCs w:val="20"/>
        </w:rPr>
        <w:t xml:space="preserve"> 3</w:t>
      </w:r>
      <w:r>
        <w:rPr>
          <w:rFonts w:ascii="Tahoma" w:hAnsi="Tahoma" w:cs="Tahoma"/>
          <w:sz w:val="20"/>
          <w:szCs w:val="20"/>
        </w:rPr>
        <w:t xml:space="preserve"> mm i w liczbie nie większej niż</w:t>
      </w:r>
      <w:r w:rsidR="00D4159B" w:rsidRPr="00D4159B">
        <w:rPr>
          <w:rFonts w:ascii="Tahoma" w:hAnsi="Tahoma" w:cs="Tahoma"/>
          <w:sz w:val="20"/>
          <w:szCs w:val="20"/>
        </w:rPr>
        <w:t xml:space="preserve"> 3 na całej długości kontrolnej dwumetrowej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łaty. Odchylenie powierzchni i krawędzi od kierunku: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pion</w:t>
      </w:r>
      <w:r w:rsidR="00214FD9">
        <w:rPr>
          <w:rFonts w:ascii="Tahoma" w:hAnsi="Tahoma" w:cs="Tahoma"/>
          <w:sz w:val="20"/>
          <w:szCs w:val="20"/>
        </w:rPr>
        <w:t>owego - nie mogą być większe niż</w:t>
      </w:r>
      <w:r w:rsidRPr="00D4159B">
        <w:rPr>
          <w:rFonts w:ascii="Tahoma" w:hAnsi="Tahoma" w:cs="Tahoma"/>
          <w:sz w:val="20"/>
          <w:szCs w:val="20"/>
        </w:rPr>
        <w:t xml:space="preserve"> 2 mm</w:t>
      </w:r>
      <w:r w:rsidR="00214FD9">
        <w:rPr>
          <w:rFonts w:ascii="Tahoma" w:hAnsi="Tahoma" w:cs="Tahoma"/>
          <w:sz w:val="20"/>
          <w:szCs w:val="20"/>
        </w:rPr>
        <w:t xml:space="preserve"> na 1 mb i ogółem nie więcej niż</w:t>
      </w:r>
      <w:r w:rsidRPr="00D4159B">
        <w:rPr>
          <w:rFonts w:ascii="Tahoma" w:hAnsi="Tahoma" w:cs="Tahoma"/>
          <w:sz w:val="20"/>
          <w:szCs w:val="20"/>
        </w:rPr>
        <w:t xml:space="preserve"> 3 mm w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pomieszczeniu,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pozi</w:t>
      </w:r>
      <w:r w:rsidR="00214FD9">
        <w:rPr>
          <w:rFonts w:ascii="Tahoma" w:hAnsi="Tahoma" w:cs="Tahoma"/>
          <w:sz w:val="20"/>
          <w:szCs w:val="20"/>
        </w:rPr>
        <w:t>omego - nie mogą być większe niż</w:t>
      </w:r>
      <w:r w:rsidRPr="00D4159B">
        <w:rPr>
          <w:rFonts w:ascii="Tahoma" w:hAnsi="Tahoma" w:cs="Tahoma"/>
          <w:sz w:val="20"/>
          <w:szCs w:val="20"/>
        </w:rPr>
        <w:t xml:space="preserve"> 3 mm na 1 mb i </w:t>
      </w:r>
      <w:r w:rsidR="00214FD9" w:rsidRPr="00D4159B">
        <w:rPr>
          <w:rFonts w:ascii="Tahoma" w:hAnsi="Tahoma" w:cs="Tahoma"/>
          <w:sz w:val="20"/>
          <w:szCs w:val="20"/>
        </w:rPr>
        <w:t>ogółem</w:t>
      </w:r>
      <w:r w:rsidRPr="00D4159B">
        <w:rPr>
          <w:rFonts w:ascii="Tahoma" w:hAnsi="Tahoma" w:cs="Tahoma"/>
          <w:sz w:val="20"/>
          <w:szCs w:val="20"/>
        </w:rPr>
        <w:t xml:space="preserve"> n</w:t>
      </w:r>
      <w:r w:rsidR="00214FD9">
        <w:rPr>
          <w:rFonts w:ascii="Tahoma" w:hAnsi="Tahoma" w:cs="Tahoma"/>
          <w:sz w:val="20"/>
          <w:szCs w:val="20"/>
        </w:rPr>
        <w:t>ie więcej niż</w:t>
      </w:r>
      <w:r w:rsidRPr="00D4159B">
        <w:rPr>
          <w:rFonts w:ascii="Tahoma" w:hAnsi="Tahoma" w:cs="Tahoma"/>
          <w:sz w:val="20"/>
          <w:szCs w:val="20"/>
        </w:rPr>
        <w:t xml:space="preserve"> 4 mm na całej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powierzchni między przegrodami pionowymi (ścianami, belkami itp.).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Niedopuszczalne są następujące wady: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wykwity w postaci </w:t>
      </w:r>
      <w:r w:rsidR="00214FD9" w:rsidRPr="00D4159B">
        <w:rPr>
          <w:rFonts w:ascii="Tahoma" w:hAnsi="Tahoma" w:cs="Tahoma"/>
          <w:sz w:val="20"/>
          <w:szCs w:val="20"/>
        </w:rPr>
        <w:t>nalotów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214FD9" w:rsidRPr="00D4159B">
        <w:rPr>
          <w:rFonts w:ascii="Tahoma" w:hAnsi="Tahoma" w:cs="Tahoma"/>
          <w:sz w:val="20"/>
          <w:szCs w:val="20"/>
        </w:rPr>
        <w:t>roztworów</w:t>
      </w:r>
      <w:r w:rsidRPr="00D4159B">
        <w:rPr>
          <w:rFonts w:ascii="Tahoma" w:hAnsi="Tahoma" w:cs="Tahoma"/>
          <w:sz w:val="20"/>
          <w:szCs w:val="20"/>
        </w:rPr>
        <w:t xml:space="preserve"> soli wykrystalizowanych na powierzchni </w:t>
      </w:r>
      <w:r w:rsidR="00214FD9" w:rsidRPr="00D4159B">
        <w:rPr>
          <w:rFonts w:ascii="Tahoma" w:hAnsi="Tahoma" w:cs="Tahoma"/>
          <w:sz w:val="20"/>
          <w:szCs w:val="20"/>
        </w:rPr>
        <w:t>tynków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przenikających z </w:t>
      </w:r>
      <w:r w:rsidR="00214FD9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, pleśni itp.,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trwałe ślady </w:t>
      </w:r>
      <w:r w:rsidR="00214FD9" w:rsidRPr="00D4159B">
        <w:rPr>
          <w:rFonts w:ascii="Tahoma" w:hAnsi="Tahoma" w:cs="Tahoma"/>
          <w:sz w:val="20"/>
          <w:szCs w:val="20"/>
        </w:rPr>
        <w:t>zacieków</w:t>
      </w:r>
      <w:r w:rsidRPr="00D4159B">
        <w:rPr>
          <w:rFonts w:ascii="Tahoma" w:hAnsi="Tahoma" w:cs="Tahoma"/>
          <w:sz w:val="20"/>
          <w:szCs w:val="20"/>
        </w:rPr>
        <w:t xml:space="preserve"> na powierzchni, odstawanie, odparzenia i pęcherze wskutek niedostatecznej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przyczepności tynku do </w:t>
      </w:r>
      <w:r w:rsidR="00214FD9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Kontroli przy robotach okładzinowych z płyt GKB podlegają: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 xml:space="preserve"> zgodność z dokumentacją projektową,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 xml:space="preserve"> jakości zastosowanych </w:t>
      </w:r>
      <w:r w:rsidRPr="00D4159B">
        <w:rPr>
          <w:rFonts w:ascii="Tahoma" w:hAnsi="Tahoma" w:cs="Tahoma"/>
          <w:sz w:val="20"/>
          <w:szCs w:val="20"/>
        </w:rPr>
        <w:t>materiałów</w:t>
      </w:r>
      <w:r w:rsidR="00D4159B" w:rsidRPr="00D4159B">
        <w:rPr>
          <w:rFonts w:ascii="Tahoma" w:hAnsi="Tahoma" w:cs="Tahoma"/>
          <w:sz w:val="20"/>
          <w:szCs w:val="20"/>
        </w:rPr>
        <w:t xml:space="preserve"> i </w:t>
      </w:r>
      <w:r w:rsidRPr="00D4159B">
        <w:rPr>
          <w:rFonts w:ascii="Tahoma" w:hAnsi="Tahoma" w:cs="Tahoma"/>
          <w:sz w:val="20"/>
          <w:szCs w:val="20"/>
        </w:rPr>
        <w:t>wyrobów</w:t>
      </w:r>
      <w:r w:rsidR="00D4159B"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 xml:space="preserve"> prawidłowości przygotowania </w:t>
      </w:r>
      <w:r w:rsidRPr="00D4159B">
        <w:rPr>
          <w:rFonts w:ascii="Tahoma" w:hAnsi="Tahoma" w:cs="Tahoma"/>
          <w:sz w:val="20"/>
          <w:szCs w:val="20"/>
        </w:rPr>
        <w:t>podłoży</w:t>
      </w:r>
      <w:r w:rsidR="00D4159B"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 xml:space="preserve"> prawidłowość wykonania okładzin.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Wykończona powierzchnia powinna charakteryzować się jednorodnością, bez miejscowych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wypukłości i wklęsłości stwierdzanych wzrokowo. </w:t>
      </w:r>
      <w:r w:rsidR="00214FD9" w:rsidRPr="00D4159B">
        <w:rPr>
          <w:rFonts w:ascii="Tahoma" w:hAnsi="Tahoma" w:cs="Tahoma"/>
          <w:sz w:val="20"/>
          <w:szCs w:val="20"/>
        </w:rPr>
        <w:t>Szczegółowej</w:t>
      </w:r>
      <w:r w:rsidRPr="00D4159B">
        <w:rPr>
          <w:rFonts w:ascii="Tahoma" w:hAnsi="Tahoma" w:cs="Tahoma"/>
          <w:sz w:val="20"/>
          <w:szCs w:val="20"/>
        </w:rPr>
        <w:t xml:space="preserve"> kontroli powinno podlegać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uszczelnienie </w:t>
      </w:r>
      <w:r w:rsidR="00214FD9" w:rsidRPr="00D4159B">
        <w:rPr>
          <w:rFonts w:ascii="Tahoma" w:hAnsi="Tahoma" w:cs="Tahoma"/>
          <w:sz w:val="20"/>
          <w:szCs w:val="20"/>
        </w:rPr>
        <w:t>styków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lastRenderedPageBreak/>
        <w:t>płyt, musi być ciągłe, pozbawione jakichkolwiek nieszczelności.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Dopuszczalne odchylenia płaszczyzny płyt </w:t>
      </w:r>
      <w:r w:rsidR="00214FD9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przyjąć jak dla </w:t>
      </w:r>
      <w:r w:rsidR="00214FD9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kategorii IV zgodnie z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normą PN-70/B-10100 ,,Roboty tynkowe. Tynki zwykłe. Wymagania i badania przy odbiorze”.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7. OBMIAR ROBÓT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Ogólne</w:t>
      </w:r>
      <w:r w:rsidR="00D4159B" w:rsidRPr="00D4159B">
        <w:rPr>
          <w:rFonts w:ascii="Tahoma" w:hAnsi="Tahoma" w:cs="Tahoma"/>
          <w:sz w:val="20"/>
          <w:szCs w:val="20"/>
        </w:rPr>
        <w:t xml:space="preserve"> zasady obmiaru robot podano w STO.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Tynki, gładzie i okładziny z płyt GKB oblicza się w m2.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8. ODBIÓR ROBÓT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Ogólne</w:t>
      </w:r>
      <w:r w:rsidR="00D4159B" w:rsidRPr="00D4159B">
        <w:rPr>
          <w:rFonts w:ascii="Tahoma" w:hAnsi="Tahoma" w:cs="Tahoma"/>
          <w:sz w:val="20"/>
          <w:szCs w:val="20"/>
        </w:rPr>
        <w:t xml:space="preserve"> ustalenia dotyczące obmiaru robot podano w STO.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Odbiory techniczne robot składają się z odbioru technicznego częściowego dla robot zanikających,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odbioru technicznego końcowego po zakończeniu całej budowy, oraz odbioru po upływie okresu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rękojmi i gwarancji.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8.1 Odbiór techniczny częściowy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Badania przy odbiorze technicznym częściowym robot tynkarskich polegają na: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zbadaniu stanu technicznego </w:t>
      </w:r>
      <w:r w:rsidR="0013753A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 xml:space="preserve"> (jego przygotowania, gruntowania, naprawy) - ścian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przeznaczonych do tynkowania, </w:t>
      </w:r>
      <w:r w:rsidR="0013753A" w:rsidRPr="00D4159B">
        <w:rPr>
          <w:rFonts w:ascii="Tahoma" w:hAnsi="Tahoma" w:cs="Tahoma"/>
          <w:sz w:val="20"/>
          <w:szCs w:val="20"/>
        </w:rPr>
        <w:t>podłoże</w:t>
      </w:r>
      <w:r w:rsidRPr="00D4159B">
        <w:rPr>
          <w:rFonts w:ascii="Tahoma" w:hAnsi="Tahoma" w:cs="Tahoma"/>
          <w:sz w:val="20"/>
          <w:szCs w:val="20"/>
        </w:rPr>
        <w:t xml:space="preserve"> musi być mocne, stabilne, nośne, wolne od substancji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mogących pogorszyć przyczepność. Wyniki odbioru </w:t>
      </w:r>
      <w:r w:rsidR="00214FD9">
        <w:rPr>
          <w:rFonts w:ascii="Tahoma" w:hAnsi="Tahoma" w:cs="Tahoma"/>
          <w:sz w:val="20"/>
          <w:szCs w:val="20"/>
        </w:rPr>
        <w:t>podłoż</w:t>
      </w:r>
      <w:r w:rsidR="00214FD9" w:rsidRPr="00D4159B">
        <w:rPr>
          <w:rFonts w:ascii="Tahoma" w:hAnsi="Tahoma" w:cs="Tahoma"/>
          <w:sz w:val="20"/>
          <w:szCs w:val="20"/>
        </w:rPr>
        <w:t>a</w:t>
      </w:r>
      <w:r w:rsidRPr="00D4159B">
        <w:rPr>
          <w:rFonts w:ascii="Tahoma" w:hAnsi="Tahoma" w:cs="Tahoma"/>
          <w:sz w:val="20"/>
          <w:szCs w:val="20"/>
        </w:rPr>
        <w:t xml:space="preserve"> powinny być wpisane do dziennika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budowy i potwierdzone podpisem Inspektora nadzoru i Kierownika budowy.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zbadaniu zgodności wykonania </w:t>
      </w:r>
      <w:r w:rsidR="0013753A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z wymaganiami i tolerancjami określonymi w karcie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technicznej wyrobu, normami, projektem budowlanym i niniejszą specyfikacją. Sprawdzenie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13753A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13753A">
        <w:rPr>
          <w:rFonts w:ascii="Tahoma" w:hAnsi="Tahoma" w:cs="Tahoma"/>
          <w:sz w:val="20"/>
          <w:szCs w:val="20"/>
        </w:rPr>
        <w:t>u</w:t>
      </w:r>
      <w:r w:rsidR="0013753A" w:rsidRPr="00D4159B">
        <w:rPr>
          <w:rFonts w:ascii="Tahoma" w:hAnsi="Tahoma" w:cs="Tahoma"/>
          <w:sz w:val="20"/>
          <w:szCs w:val="20"/>
        </w:rPr>
        <w:t>żytych</w:t>
      </w:r>
      <w:r w:rsidRPr="00D4159B">
        <w:rPr>
          <w:rFonts w:ascii="Tahoma" w:hAnsi="Tahoma" w:cs="Tahoma"/>
          <w:sz w:val="20"/>
          <w:szCs w:val="20"/>
        </w:rPr>
        <w:t xml:space="preserve"> do wykonania </w:t>
      </w:r>
      <w:r w:rsidR="0013753A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5E667E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dokonywać przez kontrolę </w:t>
      </w:r>
      <w:r w:rsidR="00214FD9" w:rsidRPr="00D4159B">
        <w:rPr>
          <w:rFonts w:ascii="Tahoma" w:hAnsi="Tahoma" w:cs="Tahoma"/>
          <w:sz w:val="20"/>
          <w:szCs w:val="20"/>
        </w:rPr>
        <w:t>przedłożonych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5E667E" w:rsidRPr="00D4159B">
        <w:rPr>
          <w:rFonts w:ascii="Tahoma" w:hAnsi="Tahoma" w:cs="Tahoma"/>
          <w:sz w:val="20"/>
          <w:szCs w:val="20"/>
        </w:rPr>
        <w:t>dokumentów</w:t>
      </w:r>
      <w:r w:rsidRPr="00D4159B">
        <w:rPr>
          <w:rFonts w:ascii="Tahoma" w:hAnsi="Tahoma" w:cs="Tahoma"/>
          <w:sz w:val="20"/>
          <w:szCs w:val="20"/>
        </w:rPr>
        <w:t xml:space="preserve"> w celu stwierdzenia zgodności </w:t>
      </w:r>
      <w:r w:rsidR="005E667E" w:rsidRPr="00D4159B">
        <w:rPr>
          <w:rFonts w:ascii="Tahoma" w:hAnsi="Tahoma" w:cs="Tahoma"/>
          <w:sz w:val="20"/>
          <w:szCs w:val="20"/>
        </w:rPr>
        <w:t>Użytych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5E667E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z wymaganiami odpowiednich</w:t>
      </w:r>
      <w:r w:rsidR="00214FD9">
        <w:rPr>
          <w:rFonts w:ascii="Tahoma" w:hAnsi="Tahoma" w:cs="Tahoma"/>
          <w:sz w:val="20"/>
          <w:szCs w:val="20"/>
        </w:rPr>
        <w:t xml:space="preserve"> norm. </w:t>
      </w:r>
      <w:r w:rsidRPr="00D4159B">
        <w:rPr>
          <w:rFonts w:ascii="Tahoma" w:hAnsi="Tahoma" w:cs="Tahoma"/>
          <w:sz w:val="20"/>
          <w:szCs w:val="20"/>
        </w:rPr>
        <w:t xml:space="preserve">Badanie przyczepności do </w:t>
      </w:r>
      <w:r w:rsidR="005E667E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 xml:space="preserve"> przeprowadza się przez opukanie jej lekkim młotkiem.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Badanie grubości warstw polega na wycięciu pięciu </w:t>
      </w:r>
      <w:r w:rsidR="005E667E" w:rsidRPr="00D4159B">
        <w:rPr>
          <w:rFonts w:ascii="Tahoma" w:hAnsi="Tahoma" w:cs="Tahoma"/>
          <w:sz w:val="20"/>
          <w:szCs w:val="20"/>
        </w:rPr>
        <w:t>otworów</w:t>
      </w:r>
      <w:r w:rsidRPr="00D4159B">
        <w:rPr>
          <w:rFonts w:ascii="Tahoma" w:hAnsi="Tahoma" w:cs="Tahoma"/>
          <w:sz w:val="20"/>
          <w:szCs w:val="20"/>
        </w:rPr>
        <w:t xml:space="preserve"> o średnicy 30mm w ten </w:t>
      </w:r>
      <w:r w:rsidR="00214FD9" w:rsidRPr="00D4159B">
        <w:rPr>
          <w:rFonts w:ascii="Tahoma" w:hAnsi="Tahoma" w:cs="Tahoma"/>
          <w:sz w:val="20"/>
          <w:szCs w:val="20"/>
        </w:rPr>
        <w:t>sposób</w:t>
      </w:r>
      <w:r w:rsidRPr="00D4159B">
        <w:rPr>
          <w:rFonts w:ascii="Tahoma" w:hAnsi="Tahoma" w:cs="Tahoma"/>
          <w:sz w:val="20"/>
          <w:szCs w:val="20"/>
        </w:rPr>
        <w:t>, aby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5E667E" w:rsidRPr="00D4159B">
        <w:rPr>
          <w:rFonts w:ascii="Tahoma" w:hAnsi="Tahoma" w:cs="Tahoma"/>
          <w:sz w:val="20"/>
          <w:szCs w:val="20"/>
        </w:rPr>
        <w:t>podłoże</w:t>
      </w:r>
      <w:r w:rsidRPr="00D4159B">
        <w:rPr>
          <w:rFonts w:ascii="Tahoma" w:hAnsi="Tahoma" w:cs="Tahoma"/>
          <w:sz w:val="20"/>
          <w:szCs w:val="20"/>
        </w:rPr>
        <w:t xml:space="preserve"> było odsłonięte ale nie naruszone. Pomiar dokonuje się z dokładnością do 1mm.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Powierzchnia </w:t>
      </w:r>
      <w:r w:rsidR="005E667E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powinna być </w:t>
      </w:r>
      <w:r w:rsidR="005E667E" w:rsidRPr="00D4159B">
        <w:rPr>
          <w:rFonts w:ascii="Tahoma" w:hAnsi="Tahoma" w:cs="Tahoma"/>
          <w:sz w:val="20"/>
          <w:szCs w:val="20"/>
        </w:rPr>
        <w:t>równa</w:t>
      </w:r>
      <w:r w:rsidRPr="00D4159B">
        <w:rPr>
          <w:rFonts w:ascii="Tahoma" w:hAnsi="Tahoma" w:cs="Tahoma"/>
          <w:sz w:val="20"/>
          <w:szCs w:val="20"/>
        </w:rPr>
        <w:t>, powierzchnia warstwy malarskiej powinna być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jednorodna, bez widocznych smug i plam. Pęknięcia na tynku oraz ślady wynikające z techniki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wykonania tynku są niedopuszczalne. Dopuszczalne odchylenia powierzchni tynku przyjąć jak dla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5E667E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kategorii IV wg PN-70/B10100 – Roboty tynkowe. Tynki zwykłe. Wymagania i badania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przy odbiorze.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Wszystkie wyniki badań powinny być wpisane do dziennika budowy, </w:t>
      </w:r>
      <w:r w:rsidR="00214FD9" w:rsidRPr="00D4159B">
        <w:rPr>
          <w:rFonts w:ascii="Tahoma" w:hAnsi="Tahoma" w:cs="Tahoma"/>
          <w:sz w:val="20"/>
          <w:szCs w:val="20"/>
        </w:rPr>
        <w:t>który</w:t>
      </w:r>
      <w:r w:rsidRPr="00D4159B">
        <w:rPr>
          <w:rFonts w:ascii="Tahoma" w:hAnsi="Tahoma" w:cs="Tahoma"/>
          <w:sz w:val="20"/>
          <w:szCs w:val="20"/>
        </w:rPr>
        <w:t xml:space="preserve"> wraz z certyfikatami,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deklaracjami zgodności, aprobatami technicznymi jest </w:t>
      </w:r>
      <w:r w:rsidR="00214FD9" w:rsidRPr="00D4159B">
        <w:rPr>
          <w:rFonts w:ascii="Tahoma" w:hAnsi="Tahoma" w:cs="Tahoma"/>
          <w:sz w:val="20"/>
          <w:szCs w:val="20"/>
        </w:rPr>
        <w:t>przedłożony</w:t>
      </w:r>
      <w:r w:rsidRPr="00D4159B">
        <w:rPr>
          <w:rFonts w:ascii="Tahoma" w:hAnsi="Tahoma" w:cs="Tahoma"/>
          <w:sz w:val="20"/>
          <w:szCs w:val="20"/>
        </w:rPr>
        <w:t xml:space="preserve"> podczas spisywania protokołu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odbioru technicznego-częściowego.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8.2 Odbiór końcowy robót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Odbiór</w:t>
      </w:r>
      <w:r w:rsidR="00D4159B" w:rsidRPr="00D4159B">
        <w:rPr>
          <w:rFonts w:ascii="Tahoma" w:hAnsi="Tahoma" w:cs="Tahoma"/>
          <w:sz w:val="20"/>
          <w:szCs w:val="20"/>
        </w:rPr>
        <w:t xml:space="preserve"> ostateczny polega na finalnej ocenie rzeczywistego wykonania robot w odniesieniu do ich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ilości, jakości i wartości.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Badania przy odbiorze technicznym końcowym polegają na: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-zbadaniu zgodności dokumentacji projektowej ze stanem faktycznym.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Wyniki badań powinny być wpisane do dziennika budowy </w:t>
      </w:r>
      <w:r w:rsidR="00214FD9" w:rsidRPr="00D4159B">
        <w:rPr>
          <w:rFonts w:ascii="Tahoma" w:hAnsi="Tahoma" w:cs="Tahoma"/>
          <w:sz w:val="20"/>
          <w:szCs w:val="20"/>
        </w:rPr>
        <w:t>który</w:t>
      </w:r>
      <w:r w:rsidRPr="00D4159B">
        <w:rPr>
          <w:rFonts w:ascii="Tahoma" w:hAnsi="Tahoma" w:cs="Tahoma"/>
          <w:sz w:val="20"/>
          <w:szCs w:val="20"/>
        </w:rPr>
        <w:t xml:space="preserve"> z: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-protokołami częściowymi,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-projektem ze zmianami wprowadzonymi podczas budowy </w:t>
      </w:r>
      <w:r w:rsidR="00214FD9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przekazać Zamawiającemu.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Konieczne jest dokonanie wpisu do Dziennika budowy o wykonaniu odbioru końcowego.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8.3 Odbiór po okresie rękojmi i gwarancji</w:t>
      </w:r>
    </w:p>
    <w:p w:rsidR="00D4159B" w:rsidRPr="00D4159B" w:rsidRDefault="0013753A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Odbiór</w:t>
      </w:r>
      <w:r w:rsidR="00D4159B" w:rsidRPr="00D4159B">
        <w:rPr>
          <w:rFonts w:ascii="Tahoma" w:hAnsi="Tahoma" w:cs="Tahoma"/>
          <w:sz w:val="20"/>
          <w:szCs w:val="20"/>
        </w:rPr>
        <w:t xml:space="preserve"> pogwarancyjny polega na ocenie wykonanych robot związanych z usunięciem wad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zaistniałych w okresie gwarancyjnym. </w:t>
      </w:r>
      <w:r w:rsidR="00214FD9" w:rsidRPr="00D4159B">
        <w:rPr>
          <w:rFonts w:ascii="Tahoma" w:hAnsi="Tahoma" w:cs="Tahoma"/>
          <w:sz w:val="20"/>
          <w:szCs w:val="20"/>
        </w:rPr>
        <w:t>Odbiór</w:t>
      </w:r>
      <w:r w:rsidR="00D4159B" w:rsidRPr="00D4159B">
        <w:rPr>
          <w:rFonts w:ascii="Tahoma" w:hAnsi="Tahoma" w:cs="Tahoma"/>
          <w:sz w:val="20"/>
          <w:szCs w:val="20"/>
        </w:rPr>
        <w:t xml:space="preserve"> pogwarancyjny będzie dokonany na podstawie oceny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wizualnej obiektu z uwzględnieniem zasad opisanych w pkt. ”</w:t>
      </w:r>
      <w:r w:rsidR="00214FD9" w:rsidRPr="00D4159B">
        <w:rPr>
          <w:rFonts w:ascii="Tahoma" w:hAnsi="Tahoma" w:cs="Tahoma"/>
          <w:sz w:val="20"/>
          <w:szCs w:val="20"/>
        </w:rPr>
        <w:t>Odbiór</w:t>
      </w:r>
      <w:r w:rsidR="00D4159B" w:rsidRPr="00D4159B">
        <w:rPr>
          <w:rFonts w:ascii="Tahoma" w:hAnsi="Tahoma" w:cs="Tahoma"/>
          <w:sz w:val="20"/>
          <w:szCs w:val="20"/>
        </w:rPr>
        <w:t xml:space="preserve"> ostateczny robot”.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9. PODSTAWA PŁATNOŚCI</w:t>
      </w:r>
    </w:p>
    <w:p w:rsidR="00D4159B" w:rsidRPr="00D4159B" w:rsidRDefault="0013753A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Ogólne</w:t>
      </w:r>
      <w:r w:rsidR="00D4159B" w:rsidRPr="00D4159B">
        <w:rPr>
          <w:rFonts w:ascii="Tahoma" w:hAnsi="Tahoma" w:cs="Tahoma"/>
          <w:sz w:val="20"/>
          <w:szCs w:val="20"/>
        </w:rPr>
        <w:t xml:space="preserve"> ustalenia dotyczące płatności podano w STO.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Rozliczenie robot tynkarskich będzie dokonane jednorazowo po wykonaniu pełnego zakresu robot i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ich końcowym odbiorze. Ostateczne rozliczenie umowy pomiędzy Zamawiającym a Wykonawcą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następuje po dokonaniu odbioru pogwarancyjnego.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Podstawę rozliczenia oraz płatności wykonanego i odebranego zakresu robot tynkarskich stanowi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wartość tych robot obliczona na podstawie ustalonej w umowie ceny za określony zakres robot.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Cena na roboty tynkarskie uwzględnia: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przygotowanie stanowiska roboczego,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dostarczenie </w:t>
      </w:r>
      <w:r w:rsidR="00214FD9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>, narzędzi i sprzętu,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ustawienie i przestawienie drabin oraz lekkich rusztowań przestawnych na spodzie,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przygotowanie </w:t>
      </w:r>
      <w:r w:rsidR="00214FD9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</w:t>
      </w:r>
      <w:r w:rsidR="00214FD9" w:rsidRPr="00D4159B">
        <w:rPr>
          <w:rFonts w:ascii="Tahoma" w:hAnsi="Tahoma" w:cs="Tahoma"/>
          <w:sz w:val="20"/>
          <w:szCs w:val="20"/>
        </w:rPr>
        <w:t>ułożenie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214FD9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usuniecie wad i usterek oraz naprawienie uszkodzeń powstałych w czasie wykonywania robot,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wykonanie wszystkich dodatkowych prac opisanych w projekcie i specyfikacji.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Cena na wykonanie gładzi gipsowych uwzględnia: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lastRenderedPageBreak/>
        <w:t>• przygotowanie stanowiska roboczego,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przygotowanie zaprawy,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dostarczenie </w:t>
      </w:r>
      <w:r w:rsidR="00214FD9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i sprzętu,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ustawienie i </w:t>
      </w:r>
      <w:r w:rsidR="00214FD9" w:rsidRPr="00D4159B">
        <w:rPr>
          <w:rFonts w:ascii="Tahoma" w:hAnsi="Tahoma" w:cs="Tahoma"/>
          <w:sz w:val="20"/>
          <w:szCs w:val="20"/>
        </w:rPr>
        <w:t>rozbiórkę</w:t>
      </w:r>
      <w:r w:rsidRPr="00D4159B">
        <w:rPr>
          <w:rFonts w:ascii="Tahoma" w:hAnsi="Tahoma" w:cs="Tahoma"/>
          <w:sz w:val="20"/>
          <w:szCs w:val="20"/>
        </w:rPr>
        <w:t xml:space="preserve"> rusztowań przenośnych </w:t>
      </w:r>
      <w:r w:rsidR="00214FD9" w:rsidRPr="00D4159B">
        <w:rPr>
          <w:rFonts w:ascii="Tahoma" w:hAnsi="Tahoma" w:cs="Tahoma"/>
          <w:sz w:val="20"/>
          <w:szCs w:val="20"/>
        </w:rPr>
        <w:t>umożliwiających</w:t>
      </w:r>
      <w:r w:rsidRPr="00D4159B">
        <w:rPr>
          <w:rFonts w:ascii="Tahoma" w:hAnsi="Tahoma" w:cs="Tahoma"/>
          <w:sz w:val="20"/>
          <w:szCs w:val="20"/>
        </w:rPr>
        <w:t xml:space="preserve"> wykonanie robot na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wysokości do 4m.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przygotowanie </w:t>
      </w:r>
      <w:r w:rsidR="00214FD9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zaszpachlowanie połączeń i </w:t>
      </w:r>
      <w:r w:rsidR="00214FD9" w:rsidRPr="00D4159B">
        <w:rPr>
          <w:rFonts w:ascii="Tahoma" w:hAnsi="Tahoma" w:cs="Tahoma"/>
          <w:sz w:val="20"/>
          <w:szCs w:val="20"/>
        </w:rPr>
        <w:t>styków</w:t>
      </w:r>
      <w:r w:rsidRPr="00D4159B">
        <w:rPr>
          <w:rFonts w:ascii="Tahoma" w:hAnsi="Tahoma" w:cs="Tahoma"/>
          <w:sz w:val="20"/>
          <w:szCs w:val="20"/>
        </w:rPr>
        <w:t xml:space="preserve"> ze ścianami i stropami,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wykonanie gładzi,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szpachlowanie i cyklinowanie wykończeniowe,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obsadzenie kratek wentylacyjnych i innych drobnych </w:t>
      </w:r>
      <w:r w:rsidR="00C57F2A" w:rsidRPr="00D4159B">
        <w:rPr>
          <w:rFonts w:ascii="Tahoma" w:hAnsi="Tahoma" w:cs="Tahoma"/>
          <w:sz w:val="20"/>
          <w:szCs w:val="20"/>
        </w:rPr>
        <w:t>elementów</w:t>
      </w:r>
      <w:r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oczyszczenie miejsca pracy z resztek </w:t>
      </w:r>
      <w:r w:rsidR="0013753A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likwidację stanowiska roboczego.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Cena na wykonanie okładzin z płyt GKB uwzględnia: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przygotowanie stanowiska roboczego,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przygotowanie zaprawy klejowej,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dostarczenie </w:t>
      </w:r>
      <w:r w:rsidR="0013753A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i sprzętu,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ustawienie i </w:t>
      </w:r>
      <w:r w:rsidR="0013753A" w:rsidRPr="00D4159B">
        <w:rPr>
          <w:rFonts w:ascii="Tahoma" w:hAnsi="Tahoma" w:cs="Tahoma"/>
          <w:sz w:val="20"/>
          <w:szCs w:val="20"/>
        </w:rPr>
        <w:t>rozbiórkę</w:t>
      </w:r>
      <w:r w:rsidRPr="00D4159B">
        <w:rPr>
          <w:rFonts w:ascii="Tahoma" w:hAnsi="Tahoma" w:cs="Tahoma"/>
          <w:sz w:val="20"/>
          <w:szCs w:val="20"/>
        </w:rPr>
        <w:t xml:space="preserve"> rusztowań przenośnych </w:t>
      </w:r>
      <w:r w:rsidR="0013753A" w:rsidRPr="00D4159B">
        <w:rPr>
          <w:rFonts w:ascii="Tahoma" w:hAnsi="Tahoma" w:cs="Tahoma"/>
          <w:sz w:val="20"/>
          <w:szCs w:val="20"/>
        </w:rPr>
        <w:t>umożliwiających</w:t>
      </w:r>
      <w:r w:rsidRPr="00D4159B">
        <w:rPr>
          <w:rFonts w:ascii="Tahoma" w:hAnsi="Tahoma" w:cs="Tahoma"/>
          <w:sz w:val="20"/>
          <w:szCs w:val="20"/>
        </w:rPr>
        <w:t xml:space="preserve"> wykonanie robot na</w:t>
      </w:r>
      <w:r w:rsidR="0013753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wysokości do 4m.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przygotowanie </w:t>
      </w:r>
      <w:r w:rsidR="0013753A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wykonanie okładzin,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szpachlowanie i cyklinowanie wykończeniowe na stykach płyt,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oczyszczenie miejsca pracy z resztek </w:t>
      </w:r>
      <w:r w:rsidR="0013753A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likwidację stanowiska roboczego.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10. AKTY PRAWNE I NORMY ORAZ PRZEPISY ZWIĄZANE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10.1 Ustawy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Ustawa z dn. 7 lipca 1994r –Prawo budowlane (Dz.U. 1994 Nr 89 poz. 414 z </w:t>
      </w:r>
      <w:r w:rsidR="0013753A" w:rsidRPr="00D4159B">
        <w:rPr>
          <w:rFonts w:ascii="Tahoma" w:hAnsi="Tahoma" w:cs="Tahoma"/>
          <w:sz w:val="20"/>
          <w:szCs w:val="20"/>
        </w:rPr>
        <w:t>późniejszymi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zmianami)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Ustawa z dn. 16 kwietnia 2004r –o wyrobach budowlanych (Dz.U. 2004 Nr 92 poz. 881)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10.2 Rozporządzenia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Rozporządzenie Min. Infrastruktury z dnia 11 sierpnia 2004r w sprawie </w:t>
      </w:r>
      <w:r w:rsidR="008439B7" w:rsidRPr="00D4159B">
        <w:rPr>
          <w:rFonts w:ascii="Tahoma" w:hAnsi="Tahoma" w:cs="Tahoma"/>
          <w:sz w:val="20"/>
          <w:szCs w:val="20"/>
        </w:rPr>
        <w:t>sposobów</w:t>
      </w:r>
      <w:r w:rsidRPr="00D4159B">
        <w:rPr>
          <w:rFonts w:ascii="Tahoma" w:hAnsi="Tahoma" w:cs="Tahoma"/>
          <w:sz w:val="20"/>
          <w:szCs w:val="20"/>
        </w:rPr>
        <w:t xml:space="preserve"> deklarowania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zgodności </w:t>
      </w:r>
      <w:r w:rsidR="008439B7" w:rsidRPr="00D4159B">
        <w:rPr>
          <w:rFonts w:ascii="Tahoma" w:hAnsi="Tahoma" w:cs="Tahoma"/>
          <w:sz w:val="20"/>
          <w:szCs w:val="20"/>
        </w:rPr>
        <w:t>wyrobów</w:t>
      </w:r>
      <w:r w:rsidRPr="00D4159B">
        <w:rPr>
          <w:rFonts w:ascii="Tahoma" w:hAnsi="Tahoma" w:cs="Tahoma"/>
          <w:sz w:val="20"/>
          <w:szCs w:val="20"/>
        </w:rPr>
        <w:t xml:space="preserve"> budowlanych oraz sposobu ich oznaczenia znakiem budowlanym (Dz.U.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2004 Nr. 198 poz. 2041 z </w:t>
      </w:r>
      <w:r w:rsidR="008439B7" w:rsidRPr="00D4159B">
        <w:rPr>
          <w:rFonts w:ascii="Tahoma" w:hAnsi="Tahoma" w:cs="Tahoma"/>
          <w:sz w:val="20"/>
          <w:szCs w:val="20"/>
        </w:rPr>
        <w:t>późniejszymi</w:t>
      </w:r>
      <w:r w:rsidRPr="00D4159B">
        <w:rPr>
          <w:rFonts w:ascii="Tahoma" w:hAnsi="Tahoma" w:cs="Tahoma"/>
          <w:sz w:val="20"/>
          <w:szCs w:val="20"/>
        </w:rPr>
        <w:t xml:space="preserve"> zmianami),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Rozporządzenie Ministra Infrastruktury z dnia 11 sierpnia 2004 r. w sprawie </w:t>
      </w:r>
      <w:r w:rsidR="008439B7" w:rsidRPr="00D4159B">
        <w:rPr>
          <w:rFonts w:ascii="Tahoma" w:hAnsi="Tahoma" w:cs="Tahoma"/>
          <w:sz w:val="20"/>
          <w:szCs w:val="20"/>
        </w:rPr>
        <w:t>systemów</w:t>
      </w:r>
      <w:r w:rsidRPr="00D4159B">
        <w:rPr>
          <w:rFonts w:ascii="Tahoma" w:hAnsi="Tahoma" w:cs="Tahoma"/>
          <w:sz w:val="20"/>
          <w:szCs w:val="20"/>
        </w:rPr>
        <w:t xml:space="preserve"> oceny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zgodności, wymagań, jakie powinny spełniać notyfikowane jednostki uczestniczące w ocenie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zgodności oraz sposobu oznaczania </w:t>
      </w:r>
      <w:r w:rsidR="008439B7" w:rsidRPr="00D4159B">
        <w:rPr>
          <w:rFonts w:ascii="Tahoma" w:hAnsi="Tahoma" w:cs="Tahoma"/>
          <w:sz w:val="20"/>
          <w:szCs w:val="20"/>
        </w:rPr>
        <w:t>wyrobów</w:t>
      </w:r>
      <w:r w:rsidRPr="00D4159B">
        <w:rPr>
          <w:rFonts w:ascii="Tahoma" w:hAnsi="Tahoma" w:cs="Tahoma"/>
          <w:sz w:val="20"/>
          <w:szCs w:val="20"/>
        </w:rPr>
        <w:t xml:space="preserve"> budowlanych oznakowaniem CE (Dz.U. 2004 Nr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195, poz. 2011),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Rozporządzenie Ministra Infrastruktury z dnia 8 czerwca 2004r. w sprawie kontroli </w:t>
      </w:r>
      <w:r w:rsidR="00214FD9" w:rsidRPr="00D4159B">
        <w:rPr>
          <w:rFonts w:ascii="Tahoma" w:hAnsi="Tahoma" w:cs="Tahoma"/>
          <w:sz w:val="20"/>
          <w:szCs w:val="20"/>
        </w:rPr>
        <w:t>wyrobów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budowlanych wprowadzonych do obrotu. (Dz.U. 2004 Nr 130, poz. 1386).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10.3. Normy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PN-90/B-14501 Zaprawy budowlane zwykłe.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PN-70/B-10100 Roboty tynkowe. Tynki zwykłe. Wymagania i badania przy odbiorze.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PN-65/B-14503 Roboty tynkowe. Zaprawy budowlane.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PN-EN 1008:2004 Woda zarobowa do betonu. Specyfikacja. Pobieranie </w:t>
      </w:r>
      <w:r w:rsidR="008439B7" w:rsidRPr="00D4159B">
        <w:rPr>
          <w:rFonts w:ascii="Tahoma" w:hAnsi="Tahoma" w:cs="Tahoma"/>
          <w:sz w:val="20"/>
          <w:szCs w:val="20"/>
        </w:rPr>
        <w:t>próbek</w:t>
      </w:r>
      <w:r w:rsidRPr="00D4159B">
        <w:rPr>
          <w:rFonts w:ascii="Tahoma" w:hAnsi="Tahoma" w:cs="Tahoma"/>
          <w:sz w:val="20"/>
          <w:szCs w:val="20"/>
        </w:rPr>
        <w:t>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PN-EN 459-1:2003 Wapno budowlane.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PN-EN 13139:2003 Kruszywa do zaprawy.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PN-B-19701: 1997 Cementy powszechnego </w:t>
      </w:r>
      <w:r w:rsidR="008439B7">
        <w:rPr>
          <w:rFonts w:ascii="Tahoma" w:hAnsi="Tahoma" w:cs="Tahoma"/>
          <w:sz w:val="20"/>
          <w:szCs w:val="20"/>
        </w:rPr>
        <w:t>u</w:t>
      </w:r>
      <w:r w:rsidR="008439B7" w:rsidRPr="00D4159B">
        <w:rPr>
          <w:rFonts w:ascii="Tahoma" w:hAnsi="Tahoma" w:cs="Tahoma"/>
          <w:sz w:val="20"/>
          <w:szCs w:val="20"/>
        </w:rPr>
        <w:t>żytku</w:t>
      </w:r>
      <w:r w:rsidRPr="00D4159B">
        <w:rPr>
          <w:rFonts w:ascii="Tahoma" w:hAnsi="Tahoma" w:cs="Tahoma"/>
          <w:sz w:val="20"/>
          <w:szCs w:val="20"/>
        </w:rPr>
        <w:t>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PN-B-30042:1997 Spoiwa gipsowe. Gips szpachlowy, gips tynkarski i klej gipsowy.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PN-EN 520:2006 "Płyty gipsowo-kartonowe. Definicje, wymagania i metody badań".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PN-EN 13501-1:2007 ,,Klasyfikacja ogniowa </w:t>
      </w:r>
      <w:r w:rsidR="008439B7" w:rsidRPr="00D4159B">
        <w:rPr>
          <w:rFonts w:ascii="Tahoma" w:hAnsi="Tahoma" w:cs="Tahoma"/>
          <w:sz w:val="20"/>
          <w:szCs w:val="20"/>
        </w:rPr>
        <w:t>wyrobów</w:t>
      </w:r>
      <w:r w:rsidRPr="00D4159B">
        <w:rPr>
          <w:rFonts w:ascii="Tahoma" w:hAnsi="Tahoma" w:cs="Tahoma"/>
          <w:sz w:val="20"/>
          <w:szCs w:val="20"/>
        </w:rPr>
        <w:t xml:space="preserve"> budowlanych i </w:t>
      </w:r>
      <w:r w:rsidR="008439B7" w:rsidRPr="00D4159B">
        <w:rPr>
          <w:rFonts w:ascii="Tahoma" w:hAnsi="Tahoma" w:cs="Tahoma"/>
          <w:sz w:val="20"/>
          <w:szCs w:val="20"/>
        </w:rPr>
        <w:t>elementów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8439B7">
        <w:rPr>
          <w:rFonts w:ascii="Tahoma" w:hAnsi="Tahoma" w:cs="Tahoma"/>
          <w:sz w:val="20"/>
          <w:szCs w:val="20"/>
        </w:rPr>
        <w:t>budynkó</w:t>
      </w:r>
      <w:r w:rsidRPr="00D4159B">
        <w:rPr>
          <w:rFonts w:ascii="Tahoma" w:hAnsi="Tahoma" w:cs="Tahoma"/>
          <w:sz w:val="20"/>
          <w:szCs w:val="20"/>
        </w:rPr>
        <w:t>w</w:t>
      </w:r>
      <w:r w:rsidR="00C57F2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–Część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1: Klasyfikacja na podstawie badań reakcji na ogień.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10.4. Inne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„Warunki techniczne wykonania i odbioru robot budowlanych”, tom I „Budownictwo </w:t>
      </w:r>
      <w:r w:rsidR="00C57F2A" w:rsidRPr="00D4159B">
        <w:rPr>
          <w:rFonts w:ascii="Tahoma" w:hAnsi="Tahoma" w:cs="Tahoma"/>
          <w:sz w:val="20"/>
          <w:szCs w:val="20"/>
        </w:rPr>
        <w:t>ogólne</w:t>
      </w:r>
      <w:r w:rsidRPr="00D4159B">
        <w:rPr>
          <w:rFonts w:ascii="Tahoma" w:hAnsi="Tahoma" w:cs="Tahoma"/>
          <w:sz w:val="20"/>
          <w:szCs w:val="20"/>
        </w:rPr>
        <w:t>”,</w:t>
      </w:r>
    </w:p>
    <w:p w:rsidR="00D4159B" w:rsidRPr="008439B7" w:rsidRDefault="00D4159B" w:rsidP="00214FD9">
      <w:pPr>
        <w:jc w:val="both"/>
        <w:rPr>
          <w:rFonts w:ascii="Tahoma" w:hAnsi="Tahoma" w:cs="Tahoma"/>
          <w:sz w:val="20"/>
          <w:szCs w:val="20"/>
        </w:rPr>
      </w:pPr>
      <w:r w:rsidRPr="008439B7">
        <w:rPr>
          <w:rFonts w:ascii="Tahoma" w:hAnsi="Tahoma" w:cs="Tahoma"/>
          <w:sz w:val="20"/>
          <w:szCs w:val="20"/>
        </w:rPr>
        <w:t>Wydawnictwo „Arkady”, Wydanie 4, Warszawa 1990.</w:t>
      </w:r>
    </w:p>
    <w:sectPr w:rsidR="00D4159B" w:rsidRPr="008439B7" w:rsidSect="0065562F">
      <w:footerReference w:type="default" r:id="rId6"/>
      <w:pgSz w:w="11900" w:h="16840" w:code="9"/>
      <w:pgMar w:top="10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7C" w:rsidRDefault="00CC3F7C" w:rsidP="002B2AAA">
      <w:pPr>
        <w:spacing w:after="0" w:line="240" w:lineRule="auto"/>
      </w:pPr>
      <w:r>
        <w:separator/>
      </w:r>
    </w:p>
  </w:endnote>
  <w:endnote w:type="continuationSeparator" w:id="1">
    <w:p w:rsidR="00CC3F7C" w:rsidRDefault="00CC3F7C" w:rsidP="002B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602282"/>
      <w:docPartObj>
        <w:docPartGallery w:val="Page Numbers (Bottom of Page)"/>
        <w:docPartUnique/>
      </w:docPartObj>
    </w:sdtPr>
    <w:sdtContent>
      <w:p w:rsidR="002E0F0B" w:rsidRDefault="002E0F0B">
        <w:pPr>
          <w:pStyle w:val="Stopka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A03635" w:rsidRDefault="00A036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7C" w:rsidRDefault="00CC3F7C" w:rsidP="002B2AAA">
      <w:pPr>
        <w:spacing w:after="0" w:line="240" w:lineRule="auto"/>
      </w:pPr>
      <w:r>
        <w:separator/>
      </w:r>
    </w:p>
  </w:footnote>
  <w:footnote w:type="continuationSeparator" w:id="1">
    <w:p w:rsidR="00CC3F7C" w:rsidRDefault="00CC3F7C" w:rsidP="002B2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59B"/>
    <w:rsid w:val="000535CD"/>
    <w:rsid w:val="0013753A"/>
    <w:rsid w:val="00214FD9"/>
    <w:rsid w:val="002740D8"/>
    <w:rsid w:val="002800BF"/>
    <w:rsid w:val="002B2AAA"/>
    <w:rsid w:val="002B62C5"/>
    <w:rsid w:val="002E0F0B"/>
    <w:rsid w:val="003628C2"/>
    <w:rsid w:val="004750CA"/>
    <w:rsid w:val="00503873"/>
    <w:rsid w:val="0051257F"/>
    <w:rsid w:val="005510B6"/>
    <w:rsid w:val="0057509E"/>
    <w:rsid w:val="005E667E"/>
    <w:rsid w:val="0065562F"/>
    <w:rsid w:val="00685E58"/>
    <w:rsid w:val="00750D5C"/>
    <w:rsid w:val="008439B7"/>
    <w:rsid w:val="008F15C0"/>
    <w:rsid w:val="00985536"/>
    <w:rsid w:val="00A03635"/>
    <w:rsid w:val="00A7495E"/>
    <w:rsid w:val="00B377DB"/>
    <w:rsid w:val="00C57F2A"/>
    <w:rsid w:val="00CA1F30"/>
    <w:rsid w:val="00CC3F7C"/>
    <w:rsid w:val="00D4159B"/>
    <w:rsid w:val="00DF7E45"/>
    <w:rsid w:val="00E41AFA"/>
    <w:rsid w:val="00EC1F67"/>
    <w:rsid w:val="00F34E39"/>
    <w:rsid w:val="00F5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5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B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2AAA"/>
  </w:style>
  <w:style w:type="paragraph" w:styleId="Stopka">
    <w:name w:val="footer"/>
    <w:basedOn w:val="Normalny"/>
    <w:link w:val="StopkaZnak"/>
    <w:uiPriority w:val="99"/>
    <w:unhideWhenUsed/>
    <w:rsid w:val="002B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AAA"/>
  </w:style>
  <w:style w:type="table" w:styleId="Tabela-Siatka">
    <w:name w:val="Table Grid"/>
    <w:basedOn w:val="Standardowy"/>
    <w:uiPriority w:val="59"/>
    <w:rsid w:val="00362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2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9</Pages>
  <Words>3748</Words>
  <Characters>22492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Czarek</cp:lastModifiedBy>
  <cp:revision>19</cp:revision>
  <dcterms:created xsi:type="dcterms:W3CDTF">2023-05-06T23:09:00Z</dcterms:created>
  <dcterms:modified xsi:type="dcterms:W3CDTF">2023-05-07T22:09:00Z</dcterms:modified>
</cp:coreProperties>
</file>